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center"/>
      </w:pPr>
      <w:r>
        <w:rPr>
          <w:sz w:val="34"/>
          <w:szCs w:val="34"/>
          <w:rtl w:val="0"/>
          <w:lang w:val="en-US"/>
        </w:rPr>
        <w:t>East and West Lake Sylvia Regulation Review Meeting</w:t>
      </w:r>
    </w:p>
    <w:p>
      <w:pPr>
        <w:pStyle w:val="Body"/>
        <w:jc w:val="center"/>
        <w:rPr>
          <w:sz w:val="28"/>
          <w:szCs w:val="28"/>
        </w:rPr>
      </w:pPr>
      <w:r>
        <w:rPr>
          <w:sz w:val="28"/>
          <w:szCs w:val="28"/>
          <w:rtl w:val="0"/>
          <w:lang w:val="en-US"/>
        </w:rPr>
        <w:t>October 4, 2018</w:t>
      </w:r>
    </w:p>
    <w:p>
      <w:pPr>
        <w:pStyle w:val="Body"/>
        <w:jc w:val="center"/>
        <w:rPr>
          <w:sz w:val="28"/>
          <w:szCs w:val="28"/>
        </w:rPr>
      </w:pPr>
    </w:p>
    <w:p>
      <w:pPr>
        <w:pStyle w:val="Body"/>
        <w:jc w:val="center"/>
        <w:rPr>
          <w:sz w:val="28"/>
          <w:szCs w:val="28"/>
        </w:rPr>
      </w:pPr>
      <w:r>
        <w:rPr>
          <w:sz w:val="28"/>
          <w:szCs w:val="28"/>
          <w:rtl w:val="0"/>
          <w:lang w:val="en-US"/>
        </w:rPr>
        <w:t>Southside Township Hall, Annandale, MN 6-8 pm</w:t>
      </w:r>
    </w:p>
    <w:p>
      <w:pPr>
        <w:pStyle w:val="Body"/>
        <w:rPr>
          <w:sz w:val="22"/>
          <w:szCs w:val="22"/>
        </w:rPr>
      </w:pPr>
    </w:p>
    <w:p>
      <w:pPr>
        <w:pStyle w:val="Body"/>
        <w:rPr>
          <w:sz w:val="22"/>
          <w:szCs w:val="22"/>
        </w:rPr>
      </w:pPr>
      <w:r>
        <w:rPr>
          <w:sz w:val="22"/>
          <w:szCs w:val="22"/>
          <w:rtl w:val="0"/>
          <w:lang w:val="en-US"/>
        </w:rPr>
        <w:t>The DNR is proposing to either extend, modify, or drop the existing experimental Northern Pike regulations on East and West Lake Sylvia. The current regulation is a 24-36 inch protected slot limit (PSL) for Northern Pike with a possession limit of three. All Northern Pike within the 24</w:t>
      </w:r>
      <w:r>
        <w:rPr>
          <w:sz w:val="22"/>
          <w:szCs w:val="22"/>
          <w:rtl w:val="0"/>
        </w:rPr>
        <w:t>”</w:t>
      </w:r>
      <w:r>
        <w:rPr>
          <w:sz w:val="22"/>
          <w:szCs w:val="22"/>
          <w:rtl w:val="0"/>
        </w:rPr>
        <w:t>-36</w:t>
      </w:r>
      <w:r>
        <w:rPr>
          <w:sz w:val="22"/>
          <w:szCs w:val="22"/>
          <w:rtl w:val="0"/>
        </w:rPr>
        <w:t xml:space="preserve">” </w:t>
      </w:r>
      <w:r>
        <w:rPr>
          <w:sz w:val="22"/>
          <w:szCs w:val="22"/>
          <w:rtl w:val="0"/>
          <w:lang w:val="en-US"/>
        </w:rPr>
        <w:t>slot must be immediately released, with one over 36</w:t>
      </w:r>
      <w:r>
        <w:rPr>
          <w:sz w:val="22"/>
          <w:szCs w:val="22"/>
          <w:rtl w:val="0"/>
        </w:rPr>
        <w:t xml:space="preserve">” </w:t>
      </w:r>
      <w:r>
        <w:rPr>
          <w:sz w:val="22"/>
          <w:szCs w:val="22"/>
          <w:rtl w:val="0"/>
          <w:lang w:val="en-US"/>
        </w:rPr>
        <w:t>allowed in possession.</w:t>
      </w:r>
    </w:p>
    <w:p>
      <w:pPr>
        <w:pStyle w:val="Body"/>
        <w:rPr>
          <w:sz w:val="22"/>
          <w:szCs w:val="22"/>
        </w:rPr>
      </w:pPr>
    </w:p>
    <w:p>
      <w:pPr>
        <w:pStyle w:val="Body"/>
        <w:rPr>
          <w:sz w:val="22"/>
          <w:szCs w:val="22"/>
        </w:rPr>
      </w:pPr>
      <w:r>
        <w:rPr>
          <w:sz w:val="22"/>
          <w:szCs w:val="22"/>
          <w:rtl w:val="0"/>
          <w:lang w:val="en-US"/>
        </w:rPr>
        <w:t>Anglers!!!  Please help us by indicating your preference.</w:t>
      </w:r>
    </w:p>
    <w:p>
      <w:pPr>
        <w:pStyle w:val="Body"/>
        <w:rPr>
          <w:sz w:val="22"/>
          <w:szCs w:val="22"/>
        </w:rPr>
      </w:pPr>
    </w:p>
    <w:p>
      <w:pPr>
        <w:pStyle w:val="Body"/>
        <w:tabs>
          <w:tab w:val="left" w:pos="720"/>
          <w:tab w:val="left" w:pos="1440"/>
        </w:tabs>
        <w:ind w:left="1440" w:hanging="1440"/>
        <w:rPr>
          <w:sz w:val="22"/>
          <w:szCs w:val="22"/>
        </w:rPr>
      </w:pPr>
      <w:r>
        <w:rPr>
          <w:sz w:val="22"/>
          <w:szCs w:val="22"/>
          <w:rtl w:val="0"/>
          <w:lang w:val="en-US"/>
        </w:rPr>
        <w:t>______</w:t>
        <w:tab/>
        <w:t>Convert existing Experimental regulation into a Special regulation.</w:t>
      </w:r>
    </w:p>
    <w:p>
      <w:pPr>
        <w:pStyle w:val="Body"/>
        <w:tabs>
          <w:tab w:val="left" w:pos="720"/>
          <w:tab w:val="left" w:pos="1440"/>
        </w:tabs>
        <w:ind w:left="1440" w:hanging="1440"/>
        <w:rPr>
          <w:sz w:val="22"/>
          <w:szCs w:val="22"/>
        </w:rPr>
      </w:pPr>
    </w:p>
    <w:p>
      <w:pPr>
        <w:pStyle w:val="Body"/>
        <w:tabs>
          <w:tab w:val="left" w:pos="720"/>
          <w:tab w:val="left" w:pos="1440"/>
        </w:tabs>
        <w:ind w:left="1440" w:hanging="1440"/>
        <w:rPr>
          <w:sz w:val="22"/>
          <w:szCs w:val="22"/>
        </w:rPr>
      </w:pPr>
      <w:r>
        <w:rPr>
          <w:sz w:val="22"/>
          <w:szCs w:val="22"/>
          <w:rtl w:val="0"/>
          <w:lang w:val="en-US"/>
        </w:rPr>
        <w:t>______</w:t>
        <w:tab/>
        <w:t>Revert current Experimental Northern Pike regulation, back to the current statewide regulation.</w:t>
      </w:r>
    </w:p>
    <w:p>
      <w:pPr>
        <w:pStyle w:val="Body"/>
        <w:tabs>
          <w:tab w:val="left" w:pos="720"/>
          <w:tab w:val="left" w:pos="1440"/>
        </w:tabs>
        <w:ind w:left="1440" w:hanging="1440"/>
        <w:rPr>
          <w:sz w:val="22"/>
          <w:szCs w:val="22"/>
        </w:rPr>
      </w:pPr>
    </w:p>
    <w:p>
      <w:pPr>
        <w:pStyle w:val="Body"/>
        <w:tabs>
          <w:tab w:val="left" w:pos="720"/>
          <w:tab w:val="left" w:pos="1440"/>
        </w:tabs>
        <w:ind w:left="1440" w:hanging="1440"/>
        <w:rPr>
          <w:sz w:val="22"/>
          <w:szCs w:val="22"/>
        </w:rPr>
      </w:pPr>
      <w:r>
        <w:rPr>
          <w:sz w:val="22"/>
          <w:szCs w:val="22"/>
          <w:rtl w:val="0"/>
          <w:lang w:val="en-US"/>
        </w:rPr>
        <w:t>______</w:t>
        <w:tab/>
        <w:t>Other (write in comments): ___________________________________________</w:t>
      </w:r>
      <w:r>
        <w:rPr>
          <w:sz w:val="22"/>
          <w:szCs w:val="22"/>
          <w:u w:val="single"/>
        </w:rPr>
        <w:tab/>
      </w:r>
    </w:p>
    <w:p>
      <w:pPr>
        <w:pStyle w:val="Body"/>
        <w:rPr>
          <w:sz w:val="22"/>
          <w:szCs w:val="22"/>
        </w:rPr>
      </w:pPr>
      <w:r>
        <w:rPr>
          <w:sz w:val="22"/>
          <w:szCs w:val="22"/>
        </w:rPr>
        <w:tab/>
        <w:tab/>
      </w:r>
    </w:p>
    <w:p>
      <w:pPr>
        <w:pStyle w:val="Body"/>
        <w:rPr>
          <w:sz w:val="22"/>
          <w:szCs w:val="22"/>
        </w:rPr>
      </w:pPr>
      <w:r>
        <w:rPr>
          <w:sz w:val="22"/>
          <w:szCs w:val="22"/>
          <w:rtl w:val="0"/>
        </w:rPr>
        <w:tab/>
        <w:tab/>
        <w:t>__________________________________________________________________</w:t>
      </w:r>
    </w:p>
    <w:p>
      <w:pPr>
        <w:pStyle w:val="Body"/>
        <w:rPr>
          <w:sz w:val="22"/>
          <w:szCs w:val="22"/>
        </w:rPr>
      </w:pPr>
    </w:p>
    <w:p>
      <w:pPr>
        <w:pStyle w:val="Body"/>
        <w:rPr>
          <w:sz w:val="22"/>
          <w:szCs w:val="22"/>
        </w:rPr>
      </w:pPr>
      <w:r>
        <w:rPr>
          <w:sz w:val="22"/>
          <w:szCs w:val="22"/>
          <w:rtl w:val="0"/>
        </w:rPr>
        <w:tab/>
        <w:tab/>
        <w:t>__________________________________________________________________</w:t>
      </w:r>
    </w:p>
    <w:p>
      <w:pPr>
        <w:pStyle w:val="Body"/>
        <w:rPr>
          <w:sz w:val="22"/>
          <w:szCs w:val="22"/>
        </w:rPr>
      </w:pPr>
      <w:r>
        <w:rPr>
          <w:sz w:val="22"/>
          <w:szCs w:val="22"/>
        </w:rPr>
        <w:tab/>
        <w:tab/>
      </w:r>
    </w:p>
    <w:p>
      <w:pPr>
        <w:pStyle w:val="Body"/>
        <w:rPr>
          <w:sz w:val="22"/>
          <w:szCs w:val="22"/>
        </w:rPr>
      </w:pPr>
    </w:p>
    <w:p>
      <w:pPr>
        <w:pStyle w:val="Body"/>
        <w:rPr>
          <w:sz w:val="22"/>
          <w:szCs w:val="22"/>
        </w:rPr>
      </w:pPr>
    </w:p>
    <w:p>
      <w:pPr>
        <w:pStyle w:val="Body"/>
        <w:rPr>
          <w:sz w:val="22"/>
          <w:szCs w:val="22"/>
        </w:rPr>
      </w:pPr>
      <w:r>
        <w:rPr>
          <w:b w:val="1"/>
          <w:bCs w:val="1"/>
          <w:sz w:val="22"/>
          <w:szCs w:val="22"/>
          <w:rtl w:val="0"/>
          <w:lang w:val="en-US"/>
        </w:rPr>
        <w:t>Optional Survey Questions</w:t>
      </w:r>
      <w:r>
        <w:rPr>
          <w:sz w:val="22"/>
          <w:szCs w:val="22"/>
          <w:rtl w:val="0"/>
        </w:rPr>
        <w:t>:</w:t>
      </w:r>
    </w:p>
    <w:p>
      <w:pPr>
        <w:pStyle w:val="Body"/>
        <w:rPr>
          <w:sz w:val="22"/>
          <w:szCs w:val="22"/>
        </w:rPr>
      </w:pPr>
    </w:p>
    <w:p>
      <w:pPr>
        <w:pStyle w:val="Body"/>
        <w:rPr>
          <w:sz w:val="22"/>
          <w:szCs w:val="22"/>
        </w:rPr>
      </w:pPr>
      <w:r>
        <w:rPr>
          <w:sz w:val="22"/>
          <w:szCs w:val="22"/>
          <w:rtl w:val="0"/>
          <w:lang w:val="en-US"/>
        </w:rPr>
        <w:t>Name ________________________________________________________________________</w:t>
      </w:r>
    </w:p>
    <w:p>
      <w:pPr>
        <w:pStyle w:val="Body"/>
        <w:rPr>
          <w:sz w:val="22"/>
          <w:szCs w:val="22"/>
        </w:rPr>
      </w:pPr>
    </w:p>
    <w:p>
      <w:pPr>
        <w:pStyle w:val="Body"/>
        <w:rPr>
          <w:sz w:val="22"/>
          <w:szCs w:val="22"/>
        </w:rPr>
      </w:pPr>
      <w:r>
        <w:rPr>
          <w:sz w:val="22"/>
          <w:szCs w:val="22"/>
          <w:rtl w:val="0"/>
          <w:lang w:val="en-US"/>
        </w:rPr>
        <w:t>Address ______________________________________________________________________</w:t>
      </w:r>
    </w:p>
    <w:p>
      <w:pPr>
        <w:pStyle w:val="Body"/>
        <w:rPr>
          <w:sz w:val="22"/>
          <w:szCs w:val="22"/>
        </w:rPr>
      </w:pPr>
    </w:p>
    <w:p>
      <w:pPr>
        <w:pStyle w:val="Body"/>
        <w:rPr>
          <w:sz w:val="22"/>
          <w:szCs w:val="22"/>
        </w:rPr>
      </w:pPr>
      <w:r>
        <w:rPr>
          <w:sz w:val="22"/>
          <w:szCs w:val="22"/>
          <w:rtl w:val="0"/>
          <w:lang w:val="en-US"/>
        </w:rPr>
        <w:t>Telephone ____________________________________________________________________</w:t>
      </w:r>
    </w:p>
    <w:p>
      <w:pPr>
        <w:pStyle w:val="Body"/>
        <w:rPr>
          <w:sz w:val="22"/>
          <w:szCs w:val="22"/>
        </w:rPr>
      </w:pPr>
    </w:p>
    <w:p>
      <w:pPr>
        <w:pStyle w:val="Body"/>
        <w:keepNext w:val="1"/>
        <w:outlineLvl w:val="0"/>
        <w:rPr>
          <w:sz w:val="22"/>
          <w:szCs w:val="22"/>
        </w:rPr>
      </w:pPr>
      <w:r>
        <w:rPr>
          <w:sz w:val="22"/>
          <w:szCs w:val="22"/>
          <w:rtl w:val="0"/>
          <w:lang w:val="en-US"/>
        </w:rPr>
        <w:t>Lakeshore resident? ______</w:t>
      </w:r>
    </w:p>
    <w:p>
      <w:pPr>
        <w:pStyle w:val="Body"/>
        <w:rPr>
          <w:sz w:val="22"/>
          <w:szCs w:val="22"/>
        </w:rPr>
      </w:pPr>
    </w:p>
    <w:p>
      <w:pPr>
        <w:pStyle w:val="Body"/>
        <w:rPr>
          <w:sz w:val="22"/>
          <w:szCs w:val="22"/>
        </w:rPr>
      </w:pPr>
      <w:r>
        <w:rPr>
          <w:sz w:val="22"/>
          <w:szCs w:val="22"/>
          <w:rtl w:val="0"/>
          <w:lang w:val="en-US"/>
        </w:rPr>
        <w:t xml:space="preserve">Please leave this survey form at the meeting or mail to: DNR Fisheries, 1035 South Benton Drive, Sauk Rapids, MN 56379 </w:t>
      </w:r>
      <w:r>
        <w:rPr>
          <w:b w:val="1"/>
          <w:bCs w:val="1"/>
          <w:sz w:val="22"/>
          <w:szCs w:val="22"/>
          <w:rtl w:val="0"/>
          <w:lang w:val="en-US"/>
        </w:rPr>
        <w:t xml:space="preserve">by October 19, 2018. </w:t>
      </w:r>
      <w:r>
        <w:rPr>
          <w:sz w:val="22"/>
          <w:szCs w:val="22"/>
          <w:rtl w:val="0"/>
          <w:lang w:val="it-IT"/>
        </w:rPr>
        <w:t>Telephone 320-223-7867</w:t>
      </w:r>
    </w:p>
    <w:p>
      <w:pPr>
        <w:pStyle w:val="Body"/>
        <w:rPr>
          <w:rStyle w:val="None"/>
          <w:sz w:val="22"/>
          <w:szCs w:val="22"/>
        </w:rPr>
      </w:pPr>
      <w:r>
        <w:rPr>
          <w:sz w:val="22"/>
          <w:szCs w:val="22"/>
          <w:rtl w:val="0"/>
        </w:rPr>
        <w:t xml:space="preserve">e-mail: </w:t>
      </w:r>
      <w:r>
        <w:rPr>
          <w:rStyle w:val="Hyperlink.0"/>
        </w:rPr>
        <w:fldChar w:fldCharType="begin" w:fldLock="0"/>
      </w:r>
      <w:r>
        <w:rPr>
          <w:rStyle w:val="Hyperlink.0"/>
        </w:rPr>
        <w:instrText xml:space="preserve"> HYPERLINK "mailto:joe.stewig@state.mn.us"</w:instrText>
      </w:r>
      <w:r>
        <w:rPr>
          <w:rStyle w:val="Hyperlink.0"/>
        </w:rPr>
        <w:fldChar w:fldCharType="separate" w:fldLock="0"/>
      </w:r>
      <w:r>
        <w:rPr>
          <w:rStyle w:val="Hyperlink.0"/>
          <w:rtl w:val="0"/>
        </w:rPr>
        <w:t>joe.stewig@state.mn.us</w:t>
      </w:r>
      <w:r>
        <w:rPr/>
        <w:fldChar w:fldCharType="end" w:fldLock="0"/>
      </w:r>
      <w:r>
        <w:rPr>
          <w:rStyle w:val="None"/>
          <w:sz w:val="22"/>
          <w:szCs w:val="22"/>
          <w:rtl w:val="0"/>
        </w:rPr>
        <w:t>.</w:t>
      </w:r>
    </w:p>
    <w:p>
      <w:pPr>
        <w:pStyle w:val="Body"/>
        <w:rPr>
          <w:sz w:val="22"/>
          <w:szCs w:val="22"/>
        </w:rPr>
      </w:pPr>
    </w:p>
    <w:p>
      <w:pPr>
        <w:pStyle w:val="Body"/>
        <w:rPr>
          <w:sz w:val="22"/>
          <w:szCs w:val="22"/>
        </w:rPr>
      </w:pPr>
    </w:p>
    <w:p>
      <w:pPr>
        <w:pStyle w:val="Body"/>
        <w:rPr>
          <w:sz w:val="22"/>
          <w:szCs w:val="22"/>
        </w:rPr>
      </w:pPr>
    </w:p>
    <w:p>
      <w:pPr>
        <w:pStyle w:val="Body"/>
        <w:rPr>
          <w:sz w:val="22"/>
          <w:szCs w:val="22"/>
        </w:rPr>
      </w:pPr>
    </w:p>
    <w:p>
      <w:pPr>
        <w:pStyle w:val="Body"/>
        <w:rPr>
          <w:sz w:val="22"/>
          <w:szCs w:val="22"/>
        </w:rPr>
      </w:pPr>
    </w:p>
    <w:p>
      <w:pPr>
        <w:pStyle w:val="Body"/>
      </w:pPr>
      <w:r>
        <w:rPr>
          <w:rStyle w:val="None"/>
          <w:rFonts w:ascii="Arial Unicode MS" w:cs="Arial Unicode MS" w:hAnsi="Arial Unicode MS" w:eastAsia="Arial Unicode MS"/>
          <w:b w:val="0"/>
          <w:bCs w:val="0"/>
          <w:i w:val="0"/>
          <w:iCs w:val="0"/>
          <w:sz w:val="22"/>
          <w:szCs w:val="22"/>
        </w:rPr>
        <w:br w:type="page"/>
      </w:r>
    </w:p>
    <w:p>
      <w:pPr>
        <w:pStyle w:val="Title"/>
      </w:pPr>
      <w:r>
        <w:rPr>
          <w:rtl w:val="0"/>
        </w:rPr>
        <w:t>Current status of the Northern Pike population</w:t>
      </w:r>
    </w:p>
    <w:p>
      <w:pPr>
        <w:pStyle w:val="Title"/>
      </w:pPr>
    </w:p>
    <w:p>
      <w:pPr>
        <w:pStyle w:val="Title"/>
        <w:jc w:val="left"/>
        <w:rPr>
          <w:rStyle w:val="None"/>
          <w:b w:val="0"/>
          <w:bCs w:val="0"/>
        </w:rPr>
      </w:pPr>
      <w:r>
        <w:rPr>
          <w:rStyle w:val="None"/>
          <w:b w:val="0"/>
          <w:bCs w:val="0"/>
          <w:rtl w:val="0"/>
          <w:lang w:val="en-US"/>
        </w:rPr>
        <w:t xml:space="preserve">The Northern Pike population in East and West Sylvia has been near or above the range of expected values for their respective lake class dating back to 1981(Figure 1). Coinciding with these higher catch rates, the average size of Northern Pike has been small (&lt; 20 inches and &lt; 2 lbs. (Table 1).  Research has indicated that the use of protected size limits (PSLs) have had success in improving the size structure of Northern Pike in systems that have high numbers of </w:t>
      </w:r>
      <w:r>
        <w:rPr>
          <w:rStyle w:val="None"/>
          <w:b w:val="0"/>
          <w:bCs w:val="0"/>
          <w:rtl w:val="0"/>
          <w:lang w:val="en-US"/>
        </w:rPr>
        <w:t>“</w:t>
      </w:r>
      <w:r>
        <w:rPr>
          <w:rStyle w:val="None"/>
          <w:b w:val="0"/>
          <w:bCs w:val="0"/>
          <w:rtl w:val="0"/>
          <w:lang w:val="en-US"/>
        </w:rPr>
        <w:t>hammer handle</w:t>
      </w:r>
      <w:r>
        <w:rPr>
          <w:rStyle w:val="None"/>
          <w:b w:val="0"/>
          <w:bCs w:val="0"/>
          <w:rtl w:val="0"/>
          <w:lang w:val="en-US"/>
        </w:rPr>
        <w:t xml:space="preserve">” </w:t>
      </w:r>
      <w:r>
        <w:rPr>
          <w:rStyle w:val="None"/>
          <w:b w:val="0"/>
          <w:bCs w:val="0"/>
          <w:rtl w:val="0"/>
          <w:lang w:val="en-US"/>
        </w:rPr>
        <w:t xml:space="preserve">pike.  Since East and West Lake Sylvia fit the criteria for a PSL laid out in the Northern Pike toolbox an experimental 24 </w:t>
      </w:r>
      <w:r>
        <w:rPr>
          <w:rStyle w:val="None"/>
          <w:b w:val="0"/>
          <w:bCs w:val="0"/>
          <w:rtl w:val="0"/>
          <w:lang w:val="en-US"/>
        </w:rPr>
        <w:t xml:space="preserve">– </w:t>
      </w:r>
      <w:r>
        <w:rPr>
          <w:rStyle w:val="None"/>
          <w:b w:val="0"/>
          <w:bCs w:val="0"/>
          <w:rtl w:val="0"/>
          <w:lang w:val="en-US"/>
        </w:rPr>
        <w:t xml:space="preserve">36 inch protected slot limit was implemented March 1, 2009.  Pre-regulation data was conducted in 2002-2008 and post-regulation data was collected from 2015 </w:t>
      </w:r>
      <w:r>
        <w:rPr>
          <w:rStyle w:val="None"/>
          <w:b w:val="0"/>
          <w:bCs w:val="0"/>
          <w:rtl w:val="0"/>
          <w:lang w:val="en-US"/>
        </w:rPr>
        <w:t xml:space="preserve">– </w:t>
      </w:r>
      <w:r>
        <w:rPr>
          <w:rStyle w:val="None"/>
          <w:b w:val="0"/>
          <w:bCs w:val="0"/>
          <w:rtl w:val="0"/>
          <w:lang w:val="en-US"/>
        </w:rPr>
        <w:t xml:space="preserve">2017.  Results from these surveys appear to indicate that the 24 </w:t>
      </w:r>
      <w:r>
        <w:rPr>
          <w:rStyle w:val="None"/>
          <w:b w:val="0"/>
          <w:bCs w:val="0"/>
          <w:rtl w:val="0"/>
          <w:lang w:val="en-US"/>
        </w:rPr>
        <w:t xml:space="preserve">– </w:t>
      </w:r>
      <w:r>
        <w:rPr>
          <w:rStyle w:val="None"/>
          <w:b w:val="0"/>
          <w:bCs w:val="0"/>
          <w:rtl w:val="0"/>
          <w:lang w:val="en-US"/>
        </w:rPr>
        <w:t>36 inch PSL has not performed as well as we would have hoped.  Summer gill net and spring ice-out survey results show that most size structure indicators (TL, % &gt; 21</w:t>
      </w:r>
      <w:r>
        <w:rPr>
          <w:rStyle w:val="None"/>
          <w:b w:val="0"/>
          <w:bCs w:val="0"/>
          <w:rtl w:val="0"/>
          <w:lang w:val="en-US"/>
        </w:rPr>
        <w:t>”</w:t>
      </w:r>
      <w:r>
        <w:rPr>
          <w:rStyle w:val="None"/>
          <w:b w:val="0"/>
          <w:bCs w:val="0"/>
          <w:rtl w:val="0"/>
          <w:lang w:val="en-US"/>
        </w:rPr>
        <w:t>, and % &gt; 24</w:t>
      </w:r>
      <w:r>
        <w:rPr>
          <w:rStyle w:val="None"/>
          <w:b w:val="0"/>
          <w:bCs w:val="0"/>
          <w:rtl w:val="0"/>
          <w:lang w:val="en-US"/>
        </w:rPr>
        <w:t>”</w:t>
      </w:r>
      <w:r>
        <w:rPr>
          <w:rStyle w:val="None"/>
          <w:b w:val="0"/>
          <w:bCs w:val="0"/>
          <w:rtl w:val="0"/>
          <w:lang w:val="en-US"/>
        </w:rPr>
        <w:t>) have decreased, while the % &gt; 30</w:t>
      </w:r>
      <w:r>
        <w:rPr>
          <w:rStyle w:val="None"/>
          <w:b w:val="0"/>
          <w:bCs w:val="0"/>
          <w:rtl w:val="0"/>
          <w:lang w:val="en-US"/>
        </w:rPr>
        <w:t xml:space="preserve">” </w:t>
      </w:r>
      <w:r>
        <w:rPr>
          <w:rStyle w:val="None"/>
          <w:b w:val="0"/>
          <w:bCs w:val="0"/>
          <w:rtl w:val="0"/>
          <w:lang w:val="en-US"/>
        </w:rPr>
        <w:t>has increased slightly (Figures 2 and 3).  With the implementation of the new Northern Pike Zone regulations on March 1, 2018, it appears that East and West Lake Sylvia are more suited for this new regulation.</w:t>
      </w:r>
    </w:p>
    <w:p>
      <w:pPr>
        <w:pStyle w:val="Title"/>
      </w:pPr>
    </w:p>
    <w:p>
      <w:pPr>
        <w:pStyle w:val="Body"/>
        <w:jc w:val="center"/>
      </w:pPr>
    </w:p>
    <w:p>
      <w:pPr>
        <w:pStyle w:val="Title"/>
        <w:rPr>
          <w:rStyle w:val="None"/>
          <w:b w:val="0"/>
          <w:bCs w:val="0"/>
        </w:rPr>
      </w:pPr>
      <w:r>
        <w:drawing>
          <wp:inline distT="0" distB="0" distL="0" distR="0">
            <wp:extent cx="4335570" cy="2598210"/>
            <wp:effectExtent l="0" t="0" r="0" b="0"/>
            <wp:docPr id="1073741825" name="officeArt object"/>
            <wp:cNvGraphicFramePr/>
            <a:graphic xmlns:a="http://schemas.openxmlformats.org/drawingml/2006/main">
              <a:graphicData uri="http://schemas.openxmlformats.org/drawingml/2006/chart">
                <c:chart xmlns:c="http://schemas.openxmlformats.org/drawingml/2006/chart" r:id="rId4"/>
              </a:graphicData>
            </a:graphic>
          </wp:inline>
        </w:drawing>
      </w:r>
    </w:p>
    <w:p>
      <w:pPr>
        <w:pStyle w:val="Title"/>
        <w:jc w:val="left"/>
        <w:rPr>
          <w:rStyle w:val="None"/>
          <w:b w:val="0"/>
          <w:bCs w:val="0"/>
        </w:rPr>
      </w:pPr>
      <w:r>
        <w:rPr>
          <w:rtl w:val="0"/>
          <w:lang w:val="en-US"/>
        </w:rPr>
        <w:t>Figure 1.</w:t>
      </w:r>
      <w:r>
        <w:rPr>
          <w:rStyle w:val="None"/>
          <w:b w:val="0"/>
          <w:bCs w:val="0"/>
          <w:rtl w:val="0"/>
          <w:lang w:val="en-US"/>
        </w:rPr>
        <w:t xml:space="preserve">  Historic Northern Pike gill net catches for East and West Lake Sylvia Lake (combined; 1981 </w:t>
      </w:r>
      <w:r>
        <w:rPr>
          <w:rStyle w:val="None"/>
          <w:b w:val="0"/>
          <w:bCs w:val="0"/>
          <w:rtl w:val="0"/>
          <w:lang w:val="en-US"/>
        </w:rPr>
        <w:t xml:space="preserve">– </w:t>
      </w:r>
      <w:r>
        <w:rPr>
          <w:rStyle w:val="None"/>
          <w:b w:val="0"/>
          <w:bCs w:val="0"/>
          <w:rtl w:val="0"/>
          <w:lang w:val="en-US"/>
        </w:rPr>
        <w:t>2015).  Dashed lines are 25</w:t>
      </w:r>
      <w:r>
        <w:rPr>
          <w:rStyle w:val="None"/>
          <w:b w:val="0"/>
          <w:bCs w:val="0"/>
          <w:vertAlign w:val="superscript"/>
          <w:rtl w:val="0"/>
          <w:lang w:val="en-US"/>
        </w:rPr>
        <w:t>th</w:t>
      </w:r>
      <w:r>
        <w:rPr>
          <w:rStyle w:val="None"/>
          <w:b w:val="0"/>
          <w:bCs w:val="0"/>
          <w:rtl w:val="0"/>
          <w:lang w:val="en-US"/>
        </w:rPr>
        <w:t xml:space="preserve"> and 75</w:t>
      </w:r>
      <w:r>
        <w:rPr>
          <w:rStyle w:val="None"/>
          <w:b w:val="0"/>
          <w:bCs w:val="0"/>
          <w:vertAlign w:val="superscript"/>
          <w:rtl w:val="0"/>
          <w:lang w:val="en-US"/>
        </w:rPr>
        <w:t>th</w:t>
      </w:r>
      <w:r>
        <w:rPr>
          <w:rStyle w:val="None"/>
          <w:b w:val="0"/>
          <w:bCs w:val="0"/>
          <w:rtl w:val="0"/>
          <w:lang w:val="en-US"/>
        </w:rPr>
        <w:t xml:space="preserve"> percentile values for the lake class.</w:t>
      </w:r>
    </w:p>
    <w:p>
      <w:pPr>
        <w:pStyle w:val="Title"/>
        <w:rPr>
          <w:rStyle w:val="None"/>
          <w:b w:val="0"/>
          <w:bCs w:val="0"/>
        </w:rPr>
      </w:pPr>
      <w:r>
        <w:drawing>
          <wp:inline distT="0" distB="0" distL="0" distR="0">
            <wp:extent cx="5078309" cy="2968521"/>
            <wp:effectExtent l="0" t="0" r="0" b="0"/>
            <wp:docPr id="1073741826" name="officeArt object"/>
            <wp:cNvGraphicFramePr/>
            <a:graphic xmlns:a="http://schemas.openxmlformats.org/drawingml/2006/main">
              <a:graphicData uri="http://schemas.openxmlformats.org/drawingml/2006/chart">
                <c:chart xmlns:c="http://schemas.openxmlformats.org/drawingml/2006/chart" r:id="rId5"/>
              </a:graphicData>
            </a:graphic>
          </wp:inline>
        </w:drawing>
      </w:r>
      <w:r>
        <mc:AlternateContent>
          <mc:Choice Requires="wps">
            <w:drawing>
              <wp:inline distT="0" distB="0" distL="0" distR="0">
                <wp:extent cx="2019335" cy="1161415"/>
                <wp:effectExtent l="0" t="0" r="0" b="0"/>
                <wp:docPr id="1073741827" name="officeArt object" descr="TextBox 1"/>
                <wp:cNvGraphicFramePr/>
                <a:graphic xmlns:a="http://schemas.openxmlformats.org/drawingml/2006/main">
                  <a:graphicData uri="http://schemas.microsoft.com/office/word/2010/wordprocessingShape">
                    <wps:wsp>
                      <wps:cNvSpPr txBox="1"/>
                      <wps:spPr>
                        <a:xfrm>
                          <a:off x="0" y="0"/>
                          <a:ext cx="2019335" cy="1161415"/>
                        </a:xfrm>
                        <a:prstGeom prst="rect">
                          <a:avLst/>
                        </a:prstGeom>
                        <a:noFill/>
                        <a:ln w="12700" cap="flat">
                          <a:noFill/>
                          <a:miter lim="400000"/>
                        </a:ln>
                        <a:effectLst/>
                      </wps:spPr>
                      <wps:txbx>
                        <w:txbxContent>
                          <w:p>
                            <w:pPr>
                              <w:pStyle w:val="Caption"/>
                              <w:tabs>
                                <w:tab w:val="left" w:pos="1440"/>
                                <w:tab w:val="left" w:pos="2880"/>
                              </w:tabs>
                              <w:rPr>
                                <w:rStyle w:val="None"/>
                                <w:b w:val="1"/>
                                <w:bCs w:val="1"/>
                                <w:sz w:val="22"/>
                                <w:szCs w:val="22"/>
                                <w:u w:val="single"/>
                                <w:lang w:val="en-US"/>
                              </w:rPr>
                            </w:pPr>
                            <w:r>
                              <w:rPr>
                                <w:b w:val="1"/>
                                <w:bCs w:val="1"/>
                                <w:sz w:val="22"/>
                                <w:szCs w:val="22"/>
                                <w:u w:val="single"/>
                                <w:rtl w:val="0"/>
                                <w:lang w:val="en-US"/>
                              </w:rPr>
                              <w:t>Pre-Reg</w:t>
                            </w:r>
                            <w:r>
                              <w:rPr>
                                <w:rStyle w:val="None"/>
                                <w:rFonts w:ascii="Calibri" w:cs="Calibri" w:hAnsi="Calibri" w:eastAsia="Calibri"/>
                                <w:b w:val="0"/>
                                <w:bCs w:val="0"/>
                                <w:sz w:val="22"/>
                                <w:szCs w:val="22"/>
                                <w:u w:val="none"/>
                                <w:rtl w:val="0"/>
                                <w:lang w:val="en-US"/>
                              </w:rPr>
                              <w:tab/>
                              <w:t xml:space="preserve">     </w:t>
                            </w:r>
                            <w:r>
                              <w:rPr>
                                <w:b w:val="1"/>
                                <w:bCs w:val="1"/>
                                <w:sz w:val="22"/>
                                <w:szCs w:val="22"/>
                                <w:u w:val="single"/>
                                <w:rtl w:val="0"/>
                                <w:lang w:val="en-US"/>
                              </w:rPr>
                              <w:t>Post-Reg</w:t>
                            </w:r>
                          </w:p>
                          <w:p>
                            <w:pPr>
                              <w:pStyle w:val="Caption"/>
                              <w:tabs>
                                <w:tab w:val="left" w:pos="1440"/>
                                <w:tab w:val="left" w:pos="2880"/>
                              </w:tabs>
                              <w:rPr>
                                <w:rStyle w:val="None"/>
                                <w:sz w:val="22"/>
                                <w:szCs w:val="22"/>
                                <w:lang w:val="en-US"/>
                              </w:rPr>
                            </w:pPr>
                            <w:r>
                              <w:rPr>
                                <w:sz w:val="22"/>
                                <w:szCs w:val="22"/>
                                <w:rtl w:val="0"/>
                                <w:lang w:val="en-US"/>
                              </w:rPr>
                              <w:t>N = 353</w:t>
                              <w:tab/>
                              <w:t xml:space="preserve">     N = 1,131</w:t>
                            </w:r>
                          </w:p>
                          <w:p>
                            <w:pPr>
                              <w:pStyle w:val="Caption"/>
                              <w:tabs>
                                <w:tab w:val="left" w:pos="1440"/>
                                <w:tab w:val="left" w:pos="2880"/>
                              </w:tabs>
                              <w:rPr>
                                <w:rStyle w:val="None"/>
                                <w:sz w:val="22"/>
                                <w:szCs w:val="22"/>
                                <w:lang w:val="en-US"/>
                              </w:rPr>
                            </w:pPr>
                            <w:r>
                              <w:rPr>
                                <w:sz w:val="22"/>
                                <w:szCs w:val="22"/>
                                <w:rtl w:val="0"/>
                                <w:lang w:val="en-US"/>
                              </w:rPr>
                              <w:t>Avg. TL = 21.9"</w:t>
                              <w:tab/>
                              <w:t xml:space="preserve">     Avg. TL = 19.0"</w:t>
                            </w:r>
                          </w:p>
                          <w:p>
                            <w:pPr>
                              <w:pStyle w:val="Caption"/>
                              <w:tabs>
                                <w:tab w:val="left" w:pos="1440"/>
                                <w:tab w:val="left" w:pos="2880"/>
                              </w:tabs>
                              <w:rPr>
                                <w:rStyle w:val="None"/>
                                <w:sz w:val="22"/>
                                <w:szCs w:val="22"/>
                                <w:lang w:val="en-US"/>
                              </w:rPr>
                            </w:pPr>
                            <w:r>
                              <w:rPr>
                                <w:sz w:val="22"/>
                                <w:szCs w:val="22"/>
                                <w:rtl w:val="0"/>
                                <w:lang w:val="en-US"/>
                              </w:rPr>
                              <w:t>% &gt;21" = 59</w:t>
                              <w:tab/>
                              <w:t xml:space="preserve">     % &gt;21" = 25</w:t>
                            </w:r>
                          </w:p>
                          <w:p>
                            <w:pPr>
                              <w:pStyle w:val="Caption"/>
                              <w:tabs>
                                <w:tab w:val="left" w:pos="1440"/>
                                <w:tab w:val="left" w:pos="2880"/>
                              </w:tabs>
                              <w:rPr>
                                <w:rStyle w:val="None"/>
                                <w:sz w:val="22"/>
                                <w:szCs w:val="22"/>
                                <w:lang w:val="en-US"/>
                              </w:rPr>
                            </w:pPr>
                            <w:r>
                              <w:rPr>
                                <w:sz w:val="22"/>
                                <w:szCs w:val="22"/>
                                <w:rtl w:val="0"/>
                                <w:lang w:val="en-US"/>
                              </w:rPr>
                              <w:t>% &gt;24" = 23</w:t>
                              <w:tab/>
                              <w:t xml:space="preserve">     % &gt;24" = 15</w:t>
                            </w:r>
                          </w:p>
                          <w:p>
                            <w:pPr>
                              <w:pStyle w:val="Caption"/>
                              <w:tabs>
                                <w:tab w:val="left" w:pos="1440"/>
                                <w:tab w:val="left" w:pos="2880"/>
                              </w:tabs>
                            </w:pPr>
                            <w:r>
                              <w:rPr>
                                <w:sz w:val="22"/>
                                <w:szCs w:val="22"/>
                                <w:rtl w:val="0"/>
                                <w:lang w:val="en-US"/>
                              </w:rPr>
                              <w:t>% &gt;30" = 2</w:t>
                              <w:tab/>
                              <w:t xml:space="preserve">     % &gt;30" = 4</w:t>
                            </w:r>
                          </w:p>
                        </w:txbxContent>
                      </wps:txbx>
                      <wps:bodyPr wrap="square" lIns="45719" tIns="45719" rIns="45719" bIns="45719" numCol="1" anchor="t">
                        <a:noAutofit/>
                      </wps:bodyPr>
                    </wps:wsp>
                  </a:graphicData>
                </a:graphic>
              </wp:inline>
            </w:drawing>
          </mc:Choice>
          <mc:Fallback>
            <w:pict>
              <v:shape id="_x0000_s1026" type="#_x0000_t202" style="visibility:visible;width:159.0pt;height:91.4pt;">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s>
                        <w:rPr>
                          <w:rStyle w:val="None"/>
                          <w:b w:val="1"/>
                          <w:bCs w:val="1"/>
                          <w:sz w:val="22"/>
                          <w:szCs w:val="22"/>
                          <w:u w:val="single"/>
                          <w:lang w:val="en-US"/>
                        </w:rPr>
                      </w:pPr>
                      <w:r>
                        <w:rPr>
                          <w:b w:val="1"/>
                          <w:bCs w:val="1"/>
                          <w:sz w:val="22"/>
                          <w:szCs w:val="22"/>
                          <w:u w:val="single"/>
                          <w:rtl w:val="0"/>
                          <w:lang w:val="en-US"/>
                        </w:rPr>
                        <w:t>Pre-Reg</w:t>
                      </w:r>
                      <w:r>
                        <w:rPr>
                          <w:rStyle w:val="None"/>
                          <w:rFonts w:ascii="Calibri" w:cs="Calibri" w:hAnsi="Calibri" w:eastAsia="Calibri"/>
                          <w:b w:val="0"/>
                          <w:bCs w:val="0"/>
                          <w:sz w:val="22"/>
                          <w:szCs w:val="22"/>
                          <w:u w:val="none"/>
                          <w:rtl w:val="0"/>
                          <w:lang w:val="en-US"/>
                        </w:rPr>
                        <w:tab/>
                        <w:t xml:space="preserve">     </w:t>
                      </w:r>
                      <w:r>
                        <w:rPr>
                          <w:b w:val="1"/>
                          <w:bCs w:val="1"/>
                          <w:sz w:val="22"/>
                          <w:szCs w:val="22"/>
                          <w:u w:val="single"/>
                          <w:rtl w:val="0"/>
                          <w:lang w:val="en-US"/>
                        </w:rPr>
                        <w:t>Post-Reg</w:t>
                      </w:r>
                    </w:p>
                    <w:p>
                      <w:pPr>
                        <w:pStyle w:val="Caption"/>
                        <w:tabs>
                          <w:tab w:val="left" w:pos="1440"/>
                          <w:tab w:val="left" w:pos="2880"/>
                        </w:tabs>
                        <w:rPr>
                          <w:rStyle w:val="None"/>
                          <w:sz w:val="22"/>
                          <w:szCs w:val="22"/>
                          <w:lang w:val="en-US"/>
                        </w:rPr>
                      </w:pPr>
                      <w:r>
                        <w:rPr>
                          <w:sz w:val="22"/>
                          <w:szCs w:val="22"/>
                          <w:rtl w:val="0"/>
                          <w:lang w:val="en-US"/>
                        </w:rPr>
                        <w:t>N = 353</w:t>
                        <w:tab/>
                        <w:t xml:space="preserve">     N = 1,131</w:t>
                      </w:r>
                    </w:p>
                    <w:p>
                      <w:pPr>
                        <w:pStyle w:val="Caption"/>
                        <w:tabs>
                          <w:tab w:val="left" w:pos="1440"/>
                          <w:tab w:val="left" w:pos="2880"/>
                        </w:tabs>
                        <w:rPr>
                          <w:rStyle w:val="None"/>
                          <w:sz w:val="22"/>
                          <w:szCs w:val="22"/>
                          <w:lang w:val="en-US"/>
                        </w:rPr>
                      </w:pPr>
                      <w:r>
                        <w:rPr>
                          <w:sz w:val="22"/>
                          <w:szCs w:val="22"/>
                          <w:rtl w:val="0"/>
                          <w:lang w:val="en-US"/>
                        </w:rPr>
                        <w:t>Avg. TL = 21.9"</w:t>
                        <w:tab/>
                        <w:t xml:space="preserve">     Avg. TL = 19.0"</w:t>
                      </w:r>
                    </w:p>
                    <w:p>
                      <w:pPr>
                        <w:pStyle w:val="Caption"/>
                        <w:tabs>
                          <w:tab w:val="left" w:pos="1440"/>
                          <w:tab w:val="left" w:pos="2880"/>
                        </w:tabs>
                        <w:rPr>
                          <w:rStyle w:val="None"/>
                          <w:sz w:val="22"/>
                          <w:szCs w:val="22"/>
                          <w:lang w:val="en-US"/>
                        </w:rPr>
                      </w:pPr>
                      <w:r>
                        <w:rPr>
                          <w:sz w:val="22"/>
                          <w:szCs w:val="22"/>
                          <w:rtl w:val="0"/>
                          <w:lang w:val="en-US"/>
                        </w:rPr>
                        <w:t>% &gt;21" = 59</w:t>
                        <w:tab/>
                        <w:t xml:space="preserve">     % &gt;21" = 25</w:t>
                      </w:r>
                    </w:p>
                    <w:p>
                      <w:pPr>
                        <w:pStyle w:val="Caption"/>
                        <w:tabs>
                          <w:tab w:val="left" w:pos="1440"/>
                          <w:tab w:val="left" w:pos="2880"/>
                        </w:tabs>
                        <w:rPr>
                          <w:rStyle w:val="None"/>
                          <w:sz w:val="22"/>
                          <w:szCs w:val="22"/>
                          <w:lang w:val="en-US"/>
                        </w:rPr>
                      </w:pPr>
                      <w:r>
                        <w:rPr>
                          <w:sz w:val="22"/>
                          <w:szCs w:val="22"/>
                          <w:rtl w:val="0"/>
                          <w:lang w:val="en-US"/>
                        </w:rPr>
                        <w:t>% &gt;24" = 23</w:t>
                        <w:tab/>
                        <w:t xml:space="preserve">     % &gt;24" = 15</w:t>
                      </w:r>
                    </w:p>
                    <w:p>
                      <w:pPr>
                        <w:pStyle w:val="Caption"/>
                        <w:tabs>
                          <w:tab w:val="left" w:pos="1440"/>
                          <w:tab w:val="left" w:pos="2880"/>
                        </w:tabs>
                      </w:pPr>
                      <w:r>
                        <w:rPr>
                          <w:sz w:val="22"/>
                          <w:szCs w:val="22"/>
                          <w:rtl w:val="0"/>
                          <w:lang w:val="en-US"/>
                        </w:rPr>
                        <w:t>% &gt;30" = 2</w:t>
                        <w:tab/>
                        <w:t xml:space="preserve">     % &gt;30" = 4</w:t>
                      </w:r>
                    </w:p>
                  </w:txbxContent>
                </v:textbox>
              </v:shape>
            </w:pict>
          </mc:Fallback>
        </mc:AlternateContent>
      </w:r>
    </w:p>
    <w:p>
      <w:pPr>
        <w:pStyle w:val="Title"/>
        <w:rPr>
          <w:rStyle w:val="None"/>
          <w:b w:val="0"/>
          <w:bCs w:val="0"/>
        </w:rPr>
      </w:pPr>
    </w:p>
    <w:p>
      <w:pPr>
        <w:pStyle w:val="Title"/>
        <w:jc w:val="left"/>
        <w:rPr>
          <w:rStyle w:val="None"/>
          <w:b w:val="0"/>
          <w:bCs w:val="0"/>
        </w:rPr>
      </w:pPr>
      <w:r>
        <w:rPr>
          <w:rtl w:val="0"/>
          <w:lang w:val="en-US"/>
        </w:rPr>
        <w:t>Figure 2.</w:t>
      </w:r>
      <w:r>
        <w:rPr>
          <w:rStyle w:val="None"/>
          <w:b w:val="0"/>
          <w:bCs w:val="0"/>
          <w:rtl w:val="0"/>
          <w:lang w:val="en-US"/>
        </w:rPr>
        <w:t xml:space="preserve">  Length frequency of Northern Pike collected during Ice-Out Assessments on East and West Lake Sylvia (combined) pre- (2002) and post-regulation (2017).</w:t>
      </w:r>
    </w:p>
    <w:p>
      <w:pPr>
        <w:pStyle w:val="Title"/>
      </w:pPr>
    </w:p>
    <w:p>
      <w:pPr>
        <w:pStyle w:val="Title"/>
        <w:rPr>
          <w:rStyle w:val="None"/>
          <w:b w:val="0"/>
          <w:bCs w:val="0"/>
        </w:rPr>
      </w:pPr>
      <w:r>
        <w:drawing>
          <wp:inline distT="0" distB="0" distL="0" distR="0">
            <wp:extent cx="5060105" cy="2830409"/>
            <wp:effectExtent l="0" t="0" r="0" b="0"/>
            <wp:docPr id="1073741828" name="officeArt object"/>
            <wp:cNvGraphicFramePr/>
            <a:graphic xmlns:a="http://schemas.openxmlformats.org/drawingml/2006/main">
              <a:graphicData uri="http://schemas.openxmlformats.org/drawingml/2006/chart">
                <c:chart xmlns:c="http://schemas.openxmlformats.org/drawingml/2006/chart" r:id="rId6"/>
              </a:graphicData>
            </a:graphic>
          </wp:inline>
        </w:drawing>
      </w:r>
      <w:r>
        <mc:AlternateContent>
          <mc:Choice Requires="wps">
            <w:drawing>
              <wp:anchor distT="0" distB="0" distL="0" distR="0" simplePos="0" relativeHeight="251659264" behindDoc="0" locked="0" layoutInCell="1" allowOverlap="1">
                <wp:simplePos x="0" y="0"/>
                <wp:positionH relativeFrom="column">
                  <wp:posOffset>3399562</wp:posOffset>
                </wp:positionH>
                <wp:positionV relativeFrom="line">
                  <wp:posOffset>378209</wp:posOffset>
                </wp:positionV>
                <wp:extent cx="1924052" cy="953467"/>
                <wp:effectExtent l="0" t="0" r="0" b="0"/>
                <wp:wrapNone/>
                <wp:docPr id="1073741829" name="officeArt object" descr="TextBox 9"/>
                <wp:cNvGraphicFramePr/>
                <a:graphic xmlns:a="http://schemas.openxmlformats.org/drawingml/2006/main">
                  <a:graphicData uri="http://schemas.microsoft.com/office/word/2010/wordprocessingShape">
                    <wps:wsp>
                      <wps:cNvSpPr txBox="1"/>
                      <wps:spPr>
                        <a:xfrm>
                          <a:off x="0" y="0"/>
                          <a:ext cx="1924052" cy="953467"/>
                        </a:xfrm>
                        <a:prstGeom prst="rect">
                          <a:avLst/>
                        </a:prstGeom>
                        <a:noFill/>
                        <a:ln w="12700" cap="flat">
                          <a:noFill/>
                          <a:miter lim="400000"/>
                        </a:ln>
                        <a:effectLst/>
                      </wps:spPr>
                      <wps:txbx>
                        <w:txbxContent>
                          <w:p>
                            <w:pPr>
                              <w:pStyle w:val="Normal (Web)"/>
                              <w:spacing w:before="0" w:after="0"/>
                            </w:pPr>
                            <w:r>
                              <w:rPr>
                                <w:rStyle w:val="None"/>
                                <w:rFonts w:ascii="Calibri" w:cs="Calibri" w:hAnsi="Calibri" w:eastAsia="Calibri"/>
                                <w:b w:val="1"/>
                                <w:bCs w:val="1"/>
                                <w:color w:val="000000"/>
                                <w:sz w:val="22"/>
                                <w:szCs w:val="22"/>
                                <w:u w:val="single" w:color="000000"/>
                                <w:rtl w:val="0"/>
                                <w:lang w:val="en-US"/>
                              </w:rPr>
                              <w:t>Pre-Reg</w:t>
                              <w:tab/>
                            </w:r>
                            <w:r>
                              <w:rPr>
                                <w:rStyle w:val="None"/>
                                <w:rFonts w:ascii="Calibri" w:cs="Calibri" w:hAnsi="Calibri" w:eastAsia="Calibri"/>
                                <w:color w:val="000000"/>
                                <w:sz w:val="22"/>
                                <w:szCs w:val="22"/>
                                <w:u w:color="000000"/>
                              </w:rPr>
                              <w:tab/>
                            </w:r>
                            <w:r>
                              <w:rPr>
                                <w:rStyle w:val="None"/>
                                <w:rFonts w:ascii="Calibri" w:cs="Calibri" w:hAnsi="Calibri" w:eastAsia="Calibri"/>
                                <w:b w:val="1"/>
                                <w:bCs w:val="1"/>
                                <w:color w:val="000000"/>
                                <w:sz w:val="22"/>
                                <w:szCs w:val="22"/>
                                <w:u w:val="single" w:color="000000"/>
                                <w:rtl w:val="0"/>
                                <w:lang w:val="en-US"/>
                              </w:rPr>
                              <w:t>Post-Reg</w:t>
                            </w:r>
                          </w:p>
                          <w:p>
                            <w:pPr>
                              <w:pStyle w:val="Normal (Web)"/>
                              <w:spacing w:before="0" w:after="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N = 238</w:t>
                              <w:tab/>
                              <w:tab/>
                              <w:t>N = 116</w:t>
                            </w:r>
                          </w:p>
                          <w:p>
                            <w:pPr>
                              <w:pStyle w:val="Normal (Web)"/>
                              <w:spacing w:before="0" w:after="0"/>
                            </w:pPr>
                            <w:r>
                              <w:rPr>
                                <w:rStyle w:val="None"/>
                                <w:rFonts w:ascii="Calibri" w:cs="Calibri" w:hAnsi="Calibri" w:eastAsia="Calibri"/>
                                <w:color w:val="000000"/>
                                <w:sz w:val="22"/>
                                <w:szCs w:val="22"/>
                                <w:u w:color="000000"/>
                                <w:rtl w:val="0"/>
                                <w:lang w:val="en-US"/>
                              </w:rPr>
                              <w:t>Avg.TL = 20.1"</w:t>
                              <w:tab/>
                              <w:t>Avg.TL = 19.1"</w:t>
                            </w:r>
                          </w:p>
                          <w:p>
                            <w:pPr>
                              <w:pStyle w:val="Normal (Web)"/>
                              <w:spacing w:before="0" w:after="0"/>
                            </w:pPr>
                            <w:r>
                              <w:rPr>
                                <w:rStyle w:val="None"/>
                                <w:rFonts w:ascii="Calibri" w:cs="Calibri" w:hAnsi="Calibri" w:eastAsia="Calibri"/>
                                <w:color w:val="000000"/>
                                <w:sz w:val="22"/>
                                <w:szCs w:val="22"/>
                                <w:u w:color="000000"/>
                                <w:rtl w:val="0"/>
                                <w:lang w:val="en-US"/>
                              </w:rPr>
                              <w:t>% &gt;21</w:t>
                            </w:r>
                            <w:r>
                              <w:rPr>
                                <w:rStyle w:val="None"/>
                                <w:rFonts w:ascii="Calibri" w:cs="Calibri" w:hAnsi="Calibri" w:eastAsia="Calibri"/>
                                <w:color w:val="000000"/>
                                <w:sz w:val="22"/>
                                <w:szCs w:val="22"/>
                                <w:u w:color="000000"/>
                                <w:rtl w:val="0"/>
                                <w:lang w:val="en-US"/>
                              </w:rPr>
                              <w:t xml:space="preserve">” </w:t>
                            </w:r>
                            <w:r>
                              <w:rPr>
                                <w:rStyle w:val="None"/>
                                <w:rFonts w:ascii="Calibri" w:cs="Calibri" w:hAnsi="Calibri" w:eastAsia="Calibri"/>
                                <w:color w:val="000000"/>
                                <w:sz w:val="22"/>
                                <w:szCs w:val="22"/>
                                <w:u w:color="000000"/>
                                <w:rtl w:val="0"/>
                                <w:lang w:val="en-US"/>
                              </w:rPr>
                              <w:t>= 33</w:t>
                              <w:tab/>
                              <w:t>% &gt;21</w:t>
                            </w:r>
                            <w:r>
                              <w:rPr>
                                <w:rStyle w:val="None"/>
                                <w:rFonts w:ascii="Calibri" w:cs="Calibri" w:hAnsi="Calibri" w:eastAsia="Calibri"/>
                                <w:color w:val="000000"/>
                                <w:sz w:val="22"/>
                                <w:szCs w:val="22"/>
                                <w:u w:color="000000"/>
                                <w:rtl w:val="0"/>
                                <w:lang w:val="en-US"/>
                              </w:rPr>
                              <w:t xml:space="preserve">” </w:t>
                            </w:r>
                            <w:r>
                              <w:rPr>
                                <w:rStyle w:val="None"/>
                                <w:rFonts w:ascii="Calibri" w:cs="Calibri" w:hAnsi="Calibri" w:eastAsia="Calibri"/>
                                <w:color w:val="000000"/>
                                <w:sz w:val="22"/>
                                <w:szCs w:val="22"/>
                                <w:u w:color="000000"/>
                                <w:rtl w:val="0"/>
                                <w:lang w:val="en-US"/>
                              </w:rPr>
                              <w:t>= 30</w:t>
                            </w:r>
                          </w:p>
                          <w:p>
                            <w:pPr>
                              <w:pStyle w:val="Normal (Web)"/>
                              <w:spacing w:before="0" w:after="0"/>
                            </w:pPr>
                            <w:r>
                              <w:rPr>
                                <w:rStyle w:val="None"/>
                                <w:rFonts w:ascii="Calibri" w:cs="Calibri" w:hAnsi="Calibri" w:eastAsia="Calibri"/>
                                <w:color w:val="000000"/>
                                <w:sz w:val="22"/>
                                <w:szCs w:val="22"/>
                                <w:u w:color="000000"/>
                                <w:rtl w:val="0"/>
                                <w:lang w:val="en-US"/>
                              </w:rPr>
                              <w:t>% &gt;24</w:t>
                            </w:r>
                            <w:r>
                              <w:rPr>
                                <w:rStyle w:val="None"/>
                                <w:rFonts w:ascii="Calibri" w:cs="Calibri" w:hAnsi="Calibri" w:eastAsia="Calibri"/>
                                <w:color w:val="000000"/>
                                <w:sz w:val="22"/>
                                <w:szCs w:val="22"/>
                                <w:u w:color="000000"/>
                                <w:rtl w:val="0"/>
                                <w:lang w:val="en-US"/>
                              </w:rPr>
                              <w:t xml:space="preserve">” </w:t>
                            </w:r>
                            <w:r>
                              <w:rPr>
                                <w:rStyle w:val="None"/>
                                <w:rFonts w:ascii="Calibri" w:cs="Calibri" w:hAnsi="Calibri" w:eastAsia="Calibri"/>
                                <w:color w:val="000000"/>
                                <w:sz w:val="22"/>
                                <w:szCs w:val="22"/>
                                <w:u w:color="000000"/>
                                <w:rtl w:val="0"/>
                                <w:lang w:val="en-US"/>
                              </w:rPr>
                              <w:t>= 17</w:t>
                              <w:tab/>
                              <w:t>% &gt;24</w:t>
                            </w:r>
                            <w:r>
                              <w:rPr>
                                <w:rStyle w:val="None"/>
                                <w:rFonts w:ascii="Calibri" w:cs="Calibri" w:hAnsi="Calibri" w:eastAsia="Calibri"/>
                                <w:color w:val="000000"/>
                                <w:sz w:val="22"/>
                                <w:szCs w:val="22"/>
                                <w:u w:color="000000"/>
                                <w:rtl w:val="0"/>
                                <w:lang w:val="en-US"/>
                              </w:rPr>
                              <w:t xml:space="preserve">” </w:t>
                            </w:r>
                            <w:r>
                              <w:rPr>
                                <w:rStyle w:val="None"/>
                                <w:rFonts w:ascii="Calibri" w:cs="Calibri" w:hAnsi="Calibri" w:eastAsia="Calibri"/>
                                <w:color w:val="000000"/>
                                <w:sz w:val="22"/>
                                <w:szCs w:val="22"/>
                                <w:u w:color="000000"/>
                                <w:rtl w:val="0"/>
                                <w:lang w:val="en-US"/>
                              </w:rPr>
                              <w:t>= 11</w:t>
                            </w:r>
                          </w:p>
                          <w:p>
                            <w:pPr>
                              <w:pStyle w:val="Normal (Web)"/>
                              <w:spacing w:before="0" w:after="0"/>
                            </w:pPr>
                            <w:r>
                              <w:rPr>
                                <w:rStyle w:val="None"/>
                                <w:rFonts w:ascii="Calibri" w:cs="Calibri" w:hAnsi="Calibri" w:eastAsia="Calibri"/>
                                <w:color w:val="000000"/>
                                <w:sz w:val="22"/>
                                <w:szCs w:val="22"/>
                                <w:u w:color="000000"/>
                                <w:rtl w:val="0"/>
                                <w:lang w:val="en-US"/>
                              </w:rPr>
                              <w:t>% &gt;30</w:t>
                            </w:r>
                            <w:r>
                              <w:rPr>
                                <w:rStyle w:val="None"/>
                                <w:rFonts w:ascii="Calibri" w:cs="Calibri" w:hAnsi="Calibri" w:eastAsia="Calibri"/>
                                <w:color w:val="000000"/>
                                <w:sz w:val="22"/>
                                <w:szCs w:val="22"/>
                                <w:u w:color="000000"/>
                                <w:rtl w:val="0"/>
                                <w:lang w:val="en-US"/>
                              </w:rPr>
                              <w:t xml:space="preserve">” </w:t>
                            </w:r>
                            <w:r>
                              <w:rPr>
                                <w:rStyle w:val="None"/>
                                <w:rFonts w:ascii="Calibri" w:cs="Calibri" w:hAnsi="Calibri" w:eastAsia="Calibri"/>
                                <w:color w:val="000000"/>
                                <w:sz w:val="22"/>
                                <w:szCs w:val="22"/>
                                <w:u w:color="000000"/>
                                <w:rtl w:val="0"/>
                                <w:lang w:val="en-US"/>
                              </w:rPr>
                              <w:t>= &lt;1</w:t>
                              <w:tab/>
                              <w:t>% &gt; 30</w:t>
                            </w:r>
                            <w:r>
                              <w:rPr>
                                <w:rStyle w:val="None"/>
                                <w:rFonts w:ascii="Calibri" w:cs="Calibri" w:hAnsi="Calibri" w:eastAsia="Calibri"/>
                                <w:color w:val="000000"/>
                                <w:sz w:val="22"/>
                                <w:szCs w:val="22"/>
                                <w:u w:color="000000"/>
                                <w:rtl w:val="0"/>
                                <w:lang w:val="en-US"/>
                              </w:rPr>
                              <w:t xml:space="preserve">” </w:t>
                            </w:r>
                            <w:r>
                              <w:rPr>
                                <w:rStyle w:val="None"/>
                                <w:rFonts w:ascii="Calibri" w:cs="Calibri" w:hAnsi="Calibri" w:eastAsia="Calibri"/>
                                <w:color w:val="000000"/>
                                <w:sz w:val="22"/>
                                <w:szCs w:val="22"/>
                                <w:u w:color="000000"/>
                                <w:rtl w:val="0"/>
                                <w:lang w:val="en-US"/>
                              </w:rPr>
                              <w:t>= &lt;1</w:t>
                            </w:r>
                          </w:p>
                        </w:txbxContent>
                      </wps:txbx>
                      <wps:bodyPr wrap="square" lIns="45719" tIns="45719" rIns="45719" bIns="45719" numCol="1" anchor="t">
                        <a:noAutofit/>
                      </wps:bodyPr>
                    </wps:wsp>
                  </a:graphicData>
                </a:graphic>
              </wp:anchor>
            </w:drawing>
          </mc:Choice>
          <mc:Fallback>
            <w:pict>
              <v:shape id="_x0000_s1027" type="#_x0000_t202" style="visibility:visible;position:absolute;margin-left:267.7pt;margin-top:29.8pt;width:151.5pt;height:75.1pt;z-index:251659264;mso-position-horizontal:absolute;mso-position-horizontal-relative:text;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Normal (Web)"/>
                        <w:spacing w:before="0" w:after="0"/>
                      </w:pPr>
                      <w:r>
                        <w:rPr>
                          <w:rStyle w:val="None"/>
                          <w:rFonts w:ascii="Calibri" w:cs="Calibri" w:hAnsi="Calibri" w:eastAsia="Calibri"/>
                          <w:b w:val="1"/>
                          <w:bCs w:val="1"/>
                          <w:color w:val="000000"/>
                          <w:sz w:val="22"/>
                          <w:szCs w:val="22"/>
                          <w:u w:val="single" w:color="000000"/>
                          <w:rtl w:val="0"/>
                          <w:lang w:val="en-US"/>
                        </w:rPr>
                        <w:t>Pre-Reg</w:t>
                        <w:tab/>
                      </w:r>
                      <w:r>
                        <w:rPr>
                          <w:rStyle w:val="None"/>
                          <w:rFonts w:ascii="Calibri" w:cs="Calibri" w:hAnsi="Calibri" w:eastAsia="Calibri"/>
                          <w:color w:val="000000"/>
                          <w:sz w:val="22"/>
                          <w:szCs w:val="22"/>
                          <w:u w:color="000000"/>
                        </w:rPr>
                        <w:tab/>
                      </w:r>
                      <w:r>
                        <w:rPr>
                          <w:rStyle w:val="None"/>
                          <w:rFonts w:ascii="Calibri" w:cs="Calibri" w:hAnsi="Calibri" w:eastAsia="Calibri"/>
                          <w:b w:val="1"/>
                          <w:bCs w:val="1"/>
                          <w:color w:val="000000"/>
                          <w:sz w:val="22"/>
                          <w:szCs w:val="22"/>
                          <w:u w:val="single" w:color="000000"/>
                          <w:rtl w:val="0"/>
                          <w:lang w:val="en-US"/>
                        </w:rPr>
                        <w:t>Post-Reg</w:t>
                      </w:r>
                    </w:p>
                    <w:p>
                      <w:pPr>
                        <w:pStyle w:val="Normal (Web)"/>
                        <w:spacing w:before="0" w:after="0"/>
                        <w:rPr>
                          <w:rStyle w:val="None"/>
                          <w:rFonts w:ascii="Calibri" w:cs="Calibri" w:hAnsi="Calibri" w:eastAsia="Calibri"/>
                          <w:color w:val="000000"/>
                          <w:sz w:val="22"/>
                          <w:szCs w:val="22"/>
                          <w:u w:color="000000"/>
                        </w:rPr>
                      </w:pPr>
                      <w:r>
                        <w:rPr>
                          <w:rStyle w:val="None"/>
                          <w:rFonts w:ascii="Calibri" w:cs="Calibri" w:hAnsi="Calibri" w:eastAsia="Calibri"/>
                          <w:color w:val="000000"/>
                          <w:sz w:val="22"/>
                          <w:szCs w:val="22"/>
                          <w:u w:color="000000"/>
                          <w:rtl w:val="0"/>
                          <w:lang w:val="en-US"/>
                        </w:rPr>
                        <w:t>N = 238</w:t>
                        <w:tab/>
                        <w:tab/>
                        <w:t>N = 116</w:t>
                      </w:r>
                    </w:p>
                    <w:p>
                      <w:pPr>
                        <w:pStyle w:val="Normal (Web)"/>
                        <w:spacing w:before="0" w:after="0"/>
                      </w:pPr>
                      <w:r>
                        <w:rPr>
                          <w:rStyle w:val="None"/>
                          <w:rFonts w:ascii="Calibri" w:cs="Calibri" w:hAnsi="Calibri" w:eastAsia="Calibri"/>
                          <w:color w:val="000000"/>
                          <w:sz w:val="22"/>
                          <w:szCs w:val="22"/>
                          <w:u w:color="000000"/>
                          <w:rtl w:val="0"/>
                          <w:lang w:val="en-US"/>
                        </w:rPr>
                        <w:t>Avg.TL = 20.1"</w:t>
                        <w:tab/>
                        <w:t>Avg.TL = 19.1"</w:t>
                      </w:r>
                    </w:p>
                    <w:p>
                      <w:pPr>
                        <w:pStyle w:val="Normal (Web)"/>
                        <w:spacing w:before="0" w:after="0"/>
                      </w:pPr>
                      <w:r>
                        <w:rPr>
                          <w:rStyle w:val="None"/>
                          <w:rFonts w:ascii="Calibri" w:cs="Calibri" w:hAnsi="Calibri" w:eastAsia="Calibri"/>
                          <w:color w:val="000000"/>
                          <w:sz w:val="22"/>
                          <w:szCs w:val="22"/>
                          <w:u w:color="000000"/>
                          <w:rtl w:val="0"/>
                          <w:lang w:val="en-US"/>
                        </w:rPr>
                        <w:t>% &gt;21</w:t>
                      </w:r>
                      <w:r>
                        <w:rPr>
                          <w:rStyle w:val="None"/>
                          <w:rFonts w:ascii="Calibri" w:cs="Calibri" w:hAnsi="Calibri" w:eastAsia="Calibri"/>
                          <w:color w:val="000000"/>
                          <w:sz w:val="22"/>
                          <w:szCs w:val="22"/>
                          <w:u w:color="000000"/>
                          <w:rtl w:val="0"/>
                          <w:lang w:val="en-US"/>
                        </w:rPr>
                        <w:t xml:space="preserve">” </w:t>
                      </w:r>
                      <w:r>
                        <w:rPr>
                          <w:rStyle w:val="None"/>
                          <w:rFonts w:ascii="Calibri" w:cs="Calibri" w:hAnsi="Calibri" w:eastAsia="Calibri"/>
                          <w:color w:val="000000"/>
                          <w:sz w:val="22"/>
                          <w:szCs w:val="22"/>
                          <w:u w:color="000000"/>
                          <w:rtl w:val="0"/>
                          <w:lang w:val="en-US"/>
                        </w:rPr>
                        <w:t>= 33</w:t>
                        <w:tab/>
                        <w:t>% &gt;21</w:t>
                      </w:r>
                      <w:r>
                        <w:rPr>
                          <w:rStyle w:val="None"/>
                          <w:rFonts w:ascii="Calibri" w:cs="Calibri" w:hAnsi="Calibri" w:eastAsia="Calibri"/>
                          <w:color w:val="000000"/>
                          <w:sz w:val="22"/>
                          <w:szCs w:val="22"/>
                          <w:u w:color="000000"/>
                          <w:rtl w:val="0"/>
                          <w:lang w:val="en-US"/>
                        </w:rPr>
                        <w:t xml:space="preserve">” </w:t>
                      </w:r>
                      <w:r>
                        <w:rPr>
                          <w:rStyle w:val="None"/>
                          <w:rFonts w:ascii="Calibri" w:cs="Calibri" w:hAnsi="Calibri" w:eastAsia="Calibri"/>
                          <w:color w:val="000000"/>
                          <w:sz w:val="22"/>
                          <w:szCs w:val="22"/>
                          <w:u w:color="000000"/>
                          <w:rtl w:val="0"/>
                          <w:lang w:val="en-US"/>
                        </w:rPr>
                        <w:t>= 30</w:t>
                      </w:r>
                    </w:p>
                    <w:p>
                      <w:pPr>
                        <w:pStyle w:val="Normal (Web)"/>
                        <w:spacing w:before="0" w:after="0"/>
                      </w:pPr>
                      <w:r>
                        <w:rPr>
                          <w:rStyle w:val="None"/>
                          <w:rFonts w:ascii="Calibri" w:cs="Calibri" w:hAnsi="Calibri" w:eastAsia="Calibri"/>
                          <w:color w:val="000000"/>
                          <w:sz w:val="22"/>
                          <w:szCs w:val="22"/>
                          <w:u w:color="000000"/>
                          <w:rtl w:val="0"/>
                          <w:lang w:val="en-US"/>
                        </w:rPr>
                        <w:t>% &gt;24</w:t>
                      </w:r>
                      <w:r>
                        <w:rPr>
                          <w:rStyle w:val="None"/>
                          <w:rFonts w:ascii="Calibri" w:cs="Calibri" w:hAnsi="Calibri" w:eastAsia="Calibri"/>
                          <w:color w:val="000000"/>
                          <w:sz w:val="22"/>
                          <w:szCs w:val="22"/>
                          <w:u w:color="000000"/>
                          <w:rtl w:val="0"/>
                          <w:lang w:val="en-US"/>
                        </w:rPr>
                        <w:t xml:space="preserve">” </w:t>
                      </w:r>
                      <w:r>
                        <w:rPr>
                          <w:rStyle w:val="None"/>
                          <w:rFonts w:ascii="Calibri" w:cs="Calibri" w:hAnsi="Calibri" w:eastAsia="Calibri"/>
                          <w:color w:val="000000"/>
                          <w:sz w:val="22"/>
                          <w:szCs w:val="22"/>
                          <w:u w:color="000000"/>
                          <w:rtl w:val="0"/>
                          <w:lang w:val="en-US"/>
                        </w:rPr>
                        <w:t>= 17</w:t>
                        <w:tab/>
                        <w:t>% &gt;24</w:t>
                      </w:r>
                      <w:r>
                        <w:rPr>
                          <w:rStyle w:val="None"/>
                          <w:rFonts w:ascii="Calibri" w:cs="Calibri" w:hAnsi="Calibri" w:eastAsia="Calibri"/>
                          <w:color w:val="000000"/>
                          <w:sz w:val="22"/>
                          <w:szCs w:val="22"/>
                          <w:u w:color="000000"/>
                          <w:rtl w:val="0"/>
                          <w:lang w:val="en-US"/>
                        </w:rPr>
                        <w:t xml:space="preserve">” </w:t>
                      </w:r>
                      <w:r>
                        <w:rPr>
                          <w:rStyle w:val="None"/>
                          <w:rFonts w:ascii="Calibri" w:cs="Calibri" w:hAnsi="Calibri" w:eastAsia="Calibri"/>
                          <w:color w:val="000000"/>
                          <w:sz w:val="22"/>
                          <w:szCs w:val="22"/>
                          <w:u w:color="000000"/>
                          <w:rtl w:val="0"/>
                          <w:lang w:val="en-US"/>
                        </w:rPr>
                        <w:t>= 11</w:t>
                      </w:r>
                    </w:p>
                    <w:p>
                      <w:pPr>
                        <w:pStyle w:val="Normal (Web)"/>
                        <w:spacing w:before="0" w:after="0"/>
                      </w:pPr>
                      <w:r>
                        <w:rPr>
                          <w:rStyle w:val="None"/>
                          <w:rFonts w:ascii="Calibri" w:cs="Calibri" w:hAnsi="Calibri" w:eastAsia="Calibri"/>
                          <w:color w:val="000000"/>
                          <w:sz w:val="22"/>
                          <w:szCs w:val="22"/>
                          <w:u w:color="000000"/>
                          <w:rtl w:val="0"/>
                          <w:lang w:val="en-US"/>
                        </w:rPr>
                        <w:t>% &gt;30</w:t>
                      </w:r>
                      <w:r>
                        <w:rPr>
                          <w:rStyle w:val="None"/>
                          <w:rFonts w:ascii="Calibri" w:cs="Calibri" w:hAnsi="Calibri" w:eastAsia="Calibri"/>
                          <w:color w:val="000000"/>
                          <w:sz w:val="22"/>
                          <w:szCs w:val="22"/>
                          <w:u w:color="000000"/>
                          <w:rtl w:val="0"/>
                          <w:lang w:val="en-US"/>
                        </w:rPr>
                        <w:t xml:space="preserve">” </w:t>
                      </w:r>
                      <w:r>
                        <w:rPr>
                          <w:rStyle w:val="None"/>
                          <w:rFonts w:ascii="Calibri" w:cs="Calibri" w:hAnsi="Calibri" w:eastAsia="Calibri"/>
                          <w:color w:val="000000"/>
                          <w:sz w:val="22"/>
                          <w:szCs w:val="22"/>
                          <w:u w:color="000000"/>
                          <w:rtl w:val="0"/>
                          <w:lang w:val="en-US"/>
                        </w:rPr>
                        <w:t>= &lt;1</w:t>
                        <w:tab/>
                        <w:t>% &gt; 30</w:t>
                      </w:r>
                      <w:r>
                        <w:rPr>
                          <w:rStyle w:val="None"/>
                          <w:rFonts w:ascii="Calibri" w:cs="Calibri" w:hAnsi="Calibri" w:eastAsia="Calibri"/>
                          <w:color w:val="000000"/>
                          <w:sz w:val="22"/>
                          <w:szCs w:val="22"/>
                          <w:u w:color="000000"/>
                          <w:rtl w:val="0"/>
                          <w:lang w:val="en-US"/>
                        </w:rPr>
                        <w:t xml:space="preserve">” </w:t>
                      </w:r>
                      <w:r>
                        <w:rPr>
                          <w:rStyle w:val="None"/>
                          <w:rFonts w:ascii="Calibri" w:cs="Calibri" w:hAnsi="Calibri" w:eastAsia="Calibri"/>
                          <w:color w:val="000000"/>
                          <w:sz w:val="22"/>
                          <w:szCs w:val="22"/>
                          <w:u w:color="000000"/>
                          <w:rtl w:val="0"/>
                          <w:lang w:val="en-US"/>
                        </w:rPr>
                        <w:t>= &lt;1</w:t>
                      </w:r>
                    </w:p>
                  </w:txbxContent>
                </v:textbox>
                <w10:wrap type="none" side="bothSides" anchorx="text"/>
              </v:shape>
            </w:pict>
          </mc:Fallback>
        </mc:AlternateContent>
      </w:r>
    </w:p>
    <w:p>
      <w:pPr>
        <w:pStyle w:val="Title"/>
        <w:jc w:val="left"/>
        <w:rPr>
          <w:rStyle w:val="None"/>
          <w:b w:val="0"/>
          <w:bCs w:val="0"/>
        </w:rPr>
      </w:pPr>
    </w:p>
    <w:p>
      <w:pPr>
        <w:pStyle w:val="Title"/>
        <w:jc w:val="left"/>
        <w:rPr>
          <w:rStyle w:val="None"/>
          <w:b w:val="0"/>
          <w:bCs w:val="0"/>
        </w:rPr>
      </w:pPr>
      <w:r>
        <w:rPr>
          <w:rtl w:val="0"/>
          <w:lang w:val="en-US"/>
        </w:rPr>
        <w:t>Figure 3.</w:t>
      </w:r>
      <w:r>
        <w:rPr>
          <w:rStyle w:val="None"/>
          <w:b w:val="0"/>
          <w:bCs w:val="0"/>
          <w:rtl w:val="0"/>
          <w:lang w:val="en-US"/>
        </w:rPr>
        <w:t xml:space="preserve">  Length frequency of Northern Pike collected during summer gill net and trap net surveys on East and West Lake Sylvia (combined; pre- (2002-08) and post-regulation (2015)).</w:t>
      </w:r>
    </w:p>
    <w:p>
      <w:pPr>
        <w:pStyle w:val="Title"/>
        <w:jc w:val="left"/>
      </w:pPr>
      <w:r>
        <w:rPr>
          <w:rStyle w:val="None"/>
          <w:b w:val="0"/>
          <w:bCs w:val="0"/>
        </w:rPr>
      </w:r>
    </w:p>
    <w:sectPr>
      <w:headerReference w:type="default" r:id="rId7"/>
      <w:footerReference w:type="default" r:id="rId8"/>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olor w:val="0563c1"/>
      <w:sz w:val="22"/>
      <w:szCs w:val="22"/>
      <w:u w:val="single" w:color="0563c1"/>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36"/>
      <w:szCs w:val="36"/>
      <w:u w:val="none"/>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chart" Target="charts/chart1.xml"/><Relationship Id="rId5" Type="http://schemas.openxmlformats.org/officeDocument/2006/relationships/chart" Target="charts/chart2.xml"/><Relationship Id="rId6" Type="http://schemas.openxmlformats.org/officeDocument/2006/relationships/chart" Target="charts/chart3.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charts/_rels/chart1.xml.rels><?xml version="1.0" encoding="UTF-8"?>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Relationships xmlns="http://schemas.openxmlformats.org/package/2006/relationships"><Relationship Id="rId1" Type="http://schemas.openxmlformats.org/officeDocument/2006/relationships/package" Target="../embeddings/Microsoft_Excel_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roundedCorners val="0"/>
  <c:chart>
    <c:autoTitleDeleted val="1"/>
    <c:plotArea>
      <c:layout>
        <c:manualLayout>
          <c:layoutTarget val="inner"/>
          <c:xMode val="edge"/>
          <c:yMode val="edge"/>
          <c:x val="0.17639"/>
          <c:y val="0.0684317"/>
          <c:w val="0.81861"/>
          <c:h val="0.720045"/>
        </c:manualLayout>
      </c:layout>
      <c:barChart>
        <c:barDir val="col"/>
        <c:grouping val="clustered"/>
        <c:varyColors val="0"/>
        <c:ser>
          <c:idx val="0"/>
          <c:order val="0"/>
          <c:tx>
            <c:strRef>
              <c:f>Sheet1!$B$1</c:f>
              <c:strCache>
                <c:ptCount val="1"/>
                <c:pt idx="0">
                  <c:v>CPUE</c:v>
                </c:pt>
              </c:strCache>
            </c:strRef>
          </c:tx>
          <c:spPr>
            <a:solidFill>
              <a:schemeClr val="accent1"/>
            </a:solidFill>
            <a:ln w="12700" cap="flat">
              <a:noFill/>
              <a:miter lim="400000"/>
            </a:ln>
            <a:effectLst/>
          </c:spPr>
          <c:invertIfNegative val="0"/>
          <c:dLbls>
            <c:numFmt formatCode="0.0" sourceLinked="0"/>
            <c:txPr>
              <a:bodyPr/>
              <a:lstStyle/>
              <a:p>
                <a:pPr>
                  <a:defRPr b="1" i="0" strike="noStrike" sz="1000" u="none">
                    <a:solidFill>
                      <a:srgbClr val="000000"/>
                    </a:solidFill>
                    <a:latin typeface="Calibri"/>
                  </a:defRPr>
                </a:pPr>
              </a:p>
            </c:txPr>
            <c:dLblPos val="outEnd"/>
            <c:showLegendKey val="0"/>
            <c:showVal val="1"/>
            <c:showCatName val="0"/>
            <c:showSerName val="0"/>
            <c:showPercent val="0"/>
            <c:showBubbleSize val="0"/>
            <c:showLeaderLines val="0"/>
          </c:dLbls>
          <c:cat>
            <c:strRef>
              <c:f>Sheet1!$A$2:$A$7</c:f>
              <c:strCache>
                <c:ptCount val="6"/>
                <c:pt idx="0">
                  <c:v>1981</c:v>
                </c:pt>
                <c:pt idx="1">
                  <c:v>1987</c:v>
                </c:pt>
                <c:pt idx="2">
                  <c:v>1992</c:v>
                </c:pt>
                <c:pt idx="3">
                  <c:v>2002</c:v>
                </c:pt>
                <c:pt idx="4">
                  <c:v>2008</c:v>
                </c:pt>
                <c:pt idx="5">
                  <c:v>2015</c:v>
                </c:pt>
              </c:strCache>
            </c:strRef>
          </c:cat>
          <c:val>
            <c:numRef>
              <c:f>Sheet1!$B$2:$B$7</c:f>
              <c:numCache>
                <c:ptCount val="6"/>
                <c:pt idx="0">
                  <c:v>6.312500</c:v>
                </c:pt>
                <c:pt idx="1">
                  <c:v>12.000000</c:v>
                </c:pt>
                <c:pt idx="2">
                  <c:v>7.687500</c:v>
                </c:pt>
                <c:pt idx="3">
                  <c:v>6.062500</c:v>
                </c:pt>
                <c:pt idx="4">
                  <c:v>8.812500</c:v>
                </c:pt>
                <c:pt idx="5">
                  <c:v>7.437500</c:v>
                </c:pt>
              </c:numCache>
            </c:numRef>
          </c:val>
        </c:ser>
        <c:gapWidth val="219"/>
        <c:overlap val="-27"/>
        <c:axId val="2094734552"/>
        <c:axId val="2094734553"/>
      </c:barChart>
      <c:lineChart>
        <c:grouping val="standard"/>
        <c:varyColors val="0"/>
        <c:ser>
          <c:idx val="1"/>
          <c:order val="1"/>
          <c:tx>
            <c:strRef>
              <c:f>Sheet1!$C$1</c:f>
              <c:strCache>
                <c:ptCount val="1"/>
                <c:pt idx="0">
                  <c:v>25%</c:v>
                </c:pt>
              </c:strCache>
            </c:strRef>
          </c:tx>
          <c:spPr>
            <a:noFill/>
            <a:ln w="25400" cap="rnd">
              <a:solidFill>
                <a:srgbClr val="000000"/>
              </a:solidFill>
              <a:prstDash val="dash"/>
              <a:round/>
            </a:ln>
            <a:effectLst/>
          </c:spPr>
          <c:marker>
            <c:symbol val="none"/>
            <c:size val="5"/>
            <c:spPr>
              <a:solidFill>
                <a:srgbClr val="000000">
                  <a:alpha val="0"/>
                </a:srgbClr>
              </a:solidFill>
              <a:ln w="25400" cap="rnd">
                <a:solidFill>
                  <a:srgbClr val="000000"/>
                </a:solidFill>
                <a:prstDash val="dash"/>
                <a:round/>
              </a:ln>
              <a:effectLst/>
            </c:spPr>
          </c:marker>
          <c:dLbls>
            <c:numFmt formatCode="0.0" sourceLinked="0"/>
            <c:txPr>
              <a:bodyPr/>
              <a:lstStyle/>
              <a:p>
                <a:pPr>
                  <a:defRPr b="0" i="0" strike="noStrike" sz="1000" u="none">
                    <a:solidFill>
                      <a:srgbClr val="000000"/>
                    </a:solidFill>
                    <a:latin typeface="Calibri"/>
                  </a:defRPr>
                </a:pPr>
              </a:p>
            </c:txPr>
            <c:dLblPos val="t"/>
            <c:showLegendKey val="0"/>
            <c:showVal val="0"/>
            <c:showCatName val="0"/>
            <c:showSerName val="0"/>
            <c:showPercent val="0"/>
            <c:showBubbleSize val="0"/>
            <c:showLeaderLines val="0"/>
          </c:dLbls>
          <c:cat>
            <c:strRef>
              <c:f>Sheet1!$A$2:$A$7</c:f>
              <c:strCache>
                <c:ptCount val="6"/>
                <c:pt idx="0">
                  <c:v>1981</c:v>
                </c:pt>
                <c:pt idx="1">
                  <c:v>1987</c:v>
                </c:pt>
                <c:pt idx="2">
                  <c:v>1992</c:v>
                </c:pt>
                <c:pt idx="3">
                  <c:v>2002</c:v>
                </c:pt>
                <c:pt idx="4">
                  <c:v>2008</c:v>
                </c:pt>
                <c:pt idx="5">
                  <c:v>2015</c:v>
                </c:pt>
              </c:strCache>
            </c:strRef>
          </c:cat>
          <c:val>
            <c:numRef>
              <c:f>Sheet1!$C$2:$C$7</c:f>
              <c:numCache>
                <c:ptCount val="6"/>
                <c:pt idx="0">
                  <c:v>1.500000</c:v>
                </c:pt>
                <c:pt idx="1">
                  <c:v>1.500000</c:v>
                </c:pt>
                <c:pt idx="2">
                  <c:v>1.500000</c:v>
                </c:pt>
                <c:pt idx="3">
                  <c:v>1.500000</c:v>
                </c:pt>
                <c:pt idx="4">
                  <c:v>1.500000</c:v>
                </c:pt>
                <c:pt idx="5">
                  <c:v>1.500000</c:v>
                </c:pt>
              </c:numCache>
            </c:numRef>
          </c:val>
          <c:smooth val="0"/>
        </c:ser>
        <c:ser>
          <c:idx val="2"/>
          <c:order val="2"/>
          <c:tx>
            <c:strRef>
              <c:f>Sheet1!$D$1</c:f>
              <c:strCache>
                <c:ptCount val="1"/>
                <c:pt idx="0">
                  <c:v>75%</c:v>
                </c:pt>
              </c:strCache>
            </c:strRef>
          </c:tx>
          <c:spPr>
            <a:noFill/>
            <a:ln w="25400" cap="rnd">
              <a:solidFill>
                <a:srgbClr val="000000"/>
              </a:solidFill>
              <a:prstDash val="dash"/>
              <a:round/>
            </a:ln>
            <a:effectLst/>
          </c:spPr>
          <c:marker>
            <c:symbol val="none"/>
            <c:size val="5"/>
            <c:spPr>
              <a:solidFill>
                <a:srgbClr val="000000">
                  <a:alpha val="0"/>
                </a:srgbClr>
              </a:solidFill>
              <a:ln w="25400" cap="rnd">
                <a:solidFill>
                  <a:srgbClr val="000000"/>
                </a:solidFill>
                <a:prstDash val="dash"/>
                <a:round/>
              </a:ln>
              <a:effectLst/>
            </c:spPr>
          </c:marker>
          <c:dLbls>
            <c:numFmt formatCode="0.0" sourceLinked="0"/>
            <c:txPr>
              <a:bodyPr/>
              <a:lstStyle/>
              <a:p>
                <a:pPr>
                  <a:defRPr b="0" i="0" strike="noStrike" sz="1000" u="none">
                    <a:solidFill>
                      <a:srgbClr val="000000"/>
                    </a:solidFill>
                    <a:latin typeface="Calibri"/>
                  </a:defRPr>
                </a:pPr>
              </a:p>
            </c:txPr>
            <c:dLblPos val="t"/>
            <c:showLegendKey val="0"/>
            <c:showVal val="0"/>
            <c:showCatName val="0"/>
            <c:showSerName val="0"/>
            <c:showPercent val="0"/>
            <c:showBubbleSize val="0"/>
            <c:showLeaderLines val="0"/>
          </c:dLbls>
          <c:cat>
            <c:strRef>
              <c:f>Sheet1!$A$2:$A$7</c:f>
              <c:strCache>
                <c:ptCount val="6"/>
                <c:pt idx="0">
                  <c:v>1981</c:v>
                </c:pt>
                <c:pt idx="1">
                  <c:v>1987</c:v>
                </c:pt>
                <c:pt idx="2">
                  <c:v>1992</c:v>
                </c:pt>
                <c:pt idx="3">
                  <c:v>2002</c:v>
                </c:pt>
                <c:pt idx="4">
                  <c:v>2008</c:v>
                </c:pt>
                <c:pt idx="5">
                  <c:v>2015</c:v>
                </c:pt>
              </c:strCache>
            </c:strRef>
          </c:cat>
          <c:val>
            <c:numRef>
              <c:f>Sheet1!$D$2:$D$7</c:f>
              <c:numCache>
                <c:ptCount val="6"/>
                <c:pt idx="0">
                  <c:v>7.290000</c:v>
                </c:pt>
                <c:pt idx="1">
                  <c:v>7.290000</c:v>
                </c:pt>
                <c:pt idx="2">
                  <c:v>7.290000</c:v>
                </c:pt>
                <c:pt idx="3">
                  <c:v>7.290000</c:v>
                </c:pt>
                <c:pt idx="4">
                  <c:v>7.290000</c:v>
                </c:pt>
                <c:pt idx="5">
                  <c:v>7.290000</c:v>
                </c:pt>
              </c:numCache>
            </c:numRef>
          </c:val>
          <c:smooth val="0"/>
        </c:ser>
        <c:marker val="1"/>
        <c:axId val="2094734552"/>
        <c:axId val="2094734553"/>
      </c:lineChart>
      <c:catAx>
        <c:axId val="2094734552"/>
        <c:scaling>
          <c:orientation val="minMax"/>
        </c:scaling>
        <c:delete val="0"/>
        <c:axPos val="b"/>
        <c:title>
          <c:tx>
            <c:rich>
              <a:bodyPr rot="0"/>
              <a:lstStyle/>
              <a:p>
                <a:pPr>
                  <a:defRPr b="1" i="0" strike="noStrike" sz="1000" u="none">
                    <a:solidFill>
                      <a:srgbClr val="595959"/>
                    </a:solidFill>
                    <a:latin typeface="Calibri"/>
                  </a:defRPr>
                </a:pPr>
                <a:r>
                  <a:rPr b="1" i="0" strike="noStrike" sz="1000" u="none">
                    <a:solidFill>
                      <a:srgbClr val="595959"/>
                    </a:solidFill>
                    <a:latin typeface="Calibri"/>
                  </a:rPr>
                  <a:t>Survey Year</a:t>
                </a:r>
              </a:p>
            </c:rich>
          </c:tx>
          <c:layout/>
          <c:overlay val="1"/>
        </c:title>
        <c:numFmt formatCode="General" sourceLinked="0"/>
        <c:majorTickMark val="out"/>
        <c:minorTickMark val="none"/>
        <c:tickLblPos val="low"/>
        <c:spPr>
          <a:ln w="19050" cap="flat">
            <a:solidFill>
              <a:srgbClr val="000000"/>
            </a:solidFill>
            <a:prstDash val="solid"/>
            <a:round/>
          </a:ln>
        </c:spPr>
        <c:txPr>
          <a:bodyPr rot="0"/>
          <a:lstStyle/>
          <a:p>
            <a:pPr>
              <a:defRPr b="1" i="0" strike="noStrike" sz="12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title>
          <c:tx>
            <c:rich>
              <a:bodyPr rot="-5400000"/>
              <a:lstStyle/>
              <a:p>
                <a:pPr>
                  <a:defRPr b="0" i="0" strike="noStrike" sz="1000" u="none">
                    <a:solidFill>
                      <a:srgbClr val="595959"/>
                    </a:solidFill>
                    <a:latin typeface="Calibri"/>
                  </a:defRPr>
                </a:pPr>
                <a:r>
                  <a:rPr b="0" i="0" strike="noStrike" sz="1000" u="none">
                    <a:solidFill>
                      <a:srgbClr val="595959"/>
                    </a:solidFill>
                    <a:latin typeface="Calibri"/>
                  </a:rPr>
                  <a:t>CPUE (#/gill net)</a:t>
                </a:r>
              </a:p>
            </c:rich>
          </c:tx>
          <c:layout/>
          <c:overlay val="1"/>
        </c:title>
        <c:numFmt formatCode="0.0" sourceLinked="0"/>
        <c:majorTickMark val="out"/>
        <c:minorTickMark val="in"/>
        <c:tickLblPos val="nextTo"/>
        <c:spPr>
          <a:ln w="19050" cap="flat">
            <a:solidFill>
              <a:srgbClr val="000000"/>
            </a:solidFill>
            <a:prstDash val="solid"/>
            <a:round/>
          </a:ln>
        </c:spPr>
        <c:txPr>
          <a:bodyPr rot="0"/>
          <a:lstStyle/>
          <a:p>
            <a:pPr>
              <a:defRPr b="1" i="0" strike="noStrike" sz="1200" u="none">
                <a:solidFill>
                  <a:srgbClr val="000000"/>
                </a:solidFill>
                <a:latin typeface="Calibri"/>
              </a:defRPr>
            </a:pPr>
          </a:p>
        </c:txPr>
        <c:crossAx val="2094734552"/>
        <c:crosses val="autoZero"/>
        <c:crossBetween val="between"/>
        <c:majorUnit val="3"/>
        <c:minorUnit val="1.5"/>
      </c:valAx>
      <c:spPr>
        <a:noFill/>
        <a:ln w="12700" cap="flat">
          <a:noFill/>
          <a:miter lim="400000"/>
        </a:ln>
        <a:effectLst/>
      </c:spPr>
    </c:plotArea>
    <c:plotVisOnly val="1"/>
    <c:dispBlanksAs val="gap"/>
  </c:chart>
  <c:spPr>
    <a:solidFill>
      <a:srgbClr val="FFFFFF"/>
    </a:solidFill>
    <a:ln>
      <a:noFill/>
    </a:ln>
    <a:effectLst/>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roundedCorners val="0"/>
  <c:chart>
    <c:title>
      <c:tx>
        <c:rich>
          <a:bodyPr rot="0"/>
          <a:lstStyle/>
          <a:p>
            <a:pPr>
              <a:defRPr b="0" i="0" strike="noStrike" sz="1400" u="none">
                <a:solidFill>
                  <a:srgbClr val="595959"/>
                </a:solidFill>
                <a:latin typeface="Calibri"/>
              </a:defRPr>
            </a:pPr>
            <a:r>
              <a:rPr b="0" i="0" strike="noStrike" sz="1400" u="none">
                <a:solidFill>
                  <a:srgbClr val="595959"/>
                </a:solidFill>
                <a:latin typeface="Calibri"/>
              </a:rPr>
              <a:t>Spring Ice-Out Assessments</a:t>
            </a:r>
          </a:p>
        </c:rich>
      </c:tx>
      <c:layout>
        <c:manualLayout>
          <c:xMode val="edge"/>
          <c:yMode val="edge"/>
          <c:x val="0.287426"/>
          <c:y val="0"/>
          <c:w val="0.425149"/>
          <c:h val="0.128347"/>
        </c:manualLayout>
      </c:layout>
      <c:overlay val="1"/>
      <c:spPr>
        <a:noFill/>
        <a:effectLst/>
      </c:spPr>
    </c:title>
    <c:autoTitleDeleted val="1"/>
    <c:plotArea>
      <c:layout>
        <c:manualLayout>
          <c:layoutTarget val="inner"/>
          <c:xMode val="edge"/>
          <c:yMode val="edge"/>
          <c:x val="0.163096"/>
          <c:y val="0.128347"/>
          <c:w val="0.831904"/>
          <c:h val="0.663566"/>
        </c:manualLayout>
      </c:layout>
      <c:areaChart>
        <c:grouping val="standard"/>
        <c:varyColors val="0"/>
        <c:ser>
          <c:idx val="0"/>
          <c:order val="0"/>
          <c:tx>
            <c:strRef>
              <c:f>Sheet1!$B$1</c:f>
              <c:strCache>
                <c:ptCount val="1"/>
                <c:pt idx="0">
                  <c:v>Pre-Reg</c:v>
                </c:pt>
              </c:strCache>
            </c:strRef>
          </c:tx>
          <c:spPr>
            <a:solidFill>
              <a:schemeClr val="accent1"/>
            </a:solidFill>
            <a:ln w="12700" cap="flat">
              <a:noFill/>
              <a:miter lim="400000"/>
            </a:ln>
            <a:effectLst/>
          </c:spPr>
          <c:dLbls>
            <c:numFmt formatCode="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Sheet1!$A$2:$A$31</c:f>
              <c:strCache>
                <c:ptCount val="30"/>
                <c:pt idx="0">
                  <c:v>7</c:v>
                </c:pt>
                <c:pt idx="1">
                  <c:v>8</c:v>
                </c:pt>
                <c:pt idx="2">
                  <c:v>9</c:v>
                </c:pt>
                <c:pt idx="3">
                  <c:v>10</c:v>
                </c:pt>
                <c:pt idx="4">
                  <c:v>11</c:v>
                </c:pt>
                <c:pt idx="5">
                  <c:v>12</c:v>
                </c:pt>
                <c:pt idx="6">
                  <c:v>13</c:v>
                </c:pt>
                <c:pt idx="7">
                  <c:v>14</c:v>
                </c:pt>
                <c:pt idx="8">
                  <c:v>15</c:v>
                </c:pt>
                <c:pt idx="9">
                  <c:v>16</c:v>
                </c:pt>
                <c:pt idx="10">
                  <c:v>17</c:v>
                </c:pt>
                <c:pt idx="11">
                  <c:v>18</c:v>
                </c:pt>
                <c:pt idx="12">
                  <c:v>19</c:v>
                </c:pt>
                <c:pt idx="13">
                  <c:v>20</c:v>
                </c:pt>
                <c:pt idx="14">
                  <c:v>21</c:v>
                </c:pt>
                <c:pt idx="15">
                  <c:v>22</c:v>
                </c:pt>
                <c:pt idx="16">
                  <c:v>23</c:v>
                </c:pt>
                <c:pt idx="17">
                  <c:v>24</c:v>
                </c:pt>
                <c:pt idx="18">
                  <c:v>25</c:v>
                </c:pt>
                <c:pt idx="19">
                  <c:v>26</c:v>
                </c:pt>
                <c:pt idx="20">
                  <c:v>27</c:v>
                </c:pt>
                <c:pt idx="21">
                  <c:v>28</c:v>
                </c:pt>
                <c:pt idx="22">
                  <c:v>29</c:v>
                </c:pt>
                <c:pt idx="23">
                  <c:v>30</c:v>
                </c:pt>
                <c:pt idx="24">
                  <c:v>31</c:v>
                </c:pt>
                <c:pt idx="25">
                  <c:v>32</c:v>
                </c:pt>
                <c:pt idx="26">
                  <c:v>33</c:v>
                </c:pt>
                <c:pt idx="27">
                  <c:v>34</c:v>
                </c:pt>
                <c:pt idx="28">
                  <c:v>35</c:v>
                </c:pt>
                <c:pt idx="29">
                  <c:v>36</c:v>
                </c:pt>
              </c:strCache>
            </c:strRef>
          </c:cat>
          <c:val>
            <c:numRef>
              <c:f>Sheet1!$B$2:$B$31</c:f>
              <c:numCache>
                <c:ptCount val="30"/>
                <c:pt idx="0">
                  <c:v>0.000000</c:v>
                </c:pt>
                <c:pt idx="1">
                  <c:v>0.000000</c:v>
                </c:pt>
                <c:pt idx="2">
                  <c:v>0.000000</c:v>
                </c:pt>
                <c:pt idx="3">
                  <c:v>0.000000</c:v>
                </c:pt>
                <c:pt idx="4">
                  <c:v>0.566572</c:v>
                </c:pt>
                <c:pt idx="5">
                  <c:v>0.000000</c:v>
                </c:pt>
                <c:pt idx="6">
                  <c:v>0.000000</c:v>
                </c:pt>
                <c:pt idx="7">
                  <c:v>0.566572</c:v>
                </c:pt>
                <c:pt idx="8">
                  <c:v>0.849858</c:v>
                </c:pt>
                <c:pt idx="9">
                  <c:v>1.699717</c:v>
                </c:pt>
                <c:pt idx="10">
                  <c:v>4.815864</c:v>
                </c:pt>
                <c:pt idx="11">
                  <c:v>7.648725</c:v>
                </c:pt>
                <c:pt idx="12">
                  <c:v>11.331445</c:v>
                </c:pt>
                <c:pt idx="13">
                  <c:v>13.881020</c:v>
                </c:pt>
                <c:pt idx="14">
                  <c:v>13.031161</c:v>
                </c:pt>
                <c:pt idx="15">
                  <c:v>11.898017</c:v>
                </c:pt>
                <c:pt idx="16">
                  <c:v>10.481586</c:v>
                </c:pt>
                <c:pt idx="17">
                  <c:v>6.798867</c:v>
                </c:pt>
                <c:pt idx="18">
                  <c:v>5.665722</c:v>
                </c:pt>
                <c:pt idx="19">
                  <c:v>4.249292</c:v>
                </c:pt>
                <c:pt idx="20">
                  <c:v>2.266289</c:v>
                </c:pt>
                <c:pt idx="21">
                  <c:v>1.983003</c:v>
                </c:pt>
                <c:pt idx="22">
                  <c:v>0.566572</c:v>
                </c:pt>
                <c:pt idx="23">
                  <c:v>0.566572</c:v>
                </c:pt>
                <c:pt idx="24">
                  <c:v>0.566572</c:v>
                </c:pt>
                <c:pt idx="25">
                  <c:v>0.283286</c:v>
                </c:pt>
                <c:pt idx="26">
                  <c:v>0.000000</c:v>
                </c:pt>
                <c:pt idx="27">
                  <c:v>0.283286</c:v>
                </c:pt>
                <c:pt idx="28">
                  <c:v>0.000000</c:v>
                </c:pt>
                <c:pt idx="29">
                  <c:v>0.000000</c:v>
                </c:pt>
              </c:numCache>
            </c:numRef>
          </c:val>
        </c:ser>
        <c:axId val="2094734552"/>
        <c:axId val="2094734553"/>
      </c:areaChart>
      <c:barChart>
        <c:barDir val="col"/>
        <c:grouping val="clustered"/>
        <c:varyColors val="0"/>
        <c:ser>
          <c:idx val="1"/>
          <c:order val="1"/>
          <c:tx>
            <c:strRef>
              <c:f>Sheet1!$C$1</c:f>
              <c:strCache>
                <c:ptCount val="1"/>
                <c:pt idx="0">
                  <c:v>Post-Reg</c:v>
                </c:pt>
              </c:strCache>
            </c:strRef>
          </c:tx>
          <c:spPr>
            <a:solidFill>
              <a:schemeClr val="accent2"/>
            </a:solidFill>
            <a:ln w="12700" cap="flat">
              <a:noFill/>
              <a:miter lim="400000"/>
            </a:ln>
            <a:effectLst/>
          </c:spPr>
          <c:invertIfNegative val="0"/>
          <c:dLbls>
            <c:numFmt formatCode="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Sheet1!$A$2:$A$31</c:f>
              <c:strCache>
                <c:ptCount val="30"/>
                <c:pt idx="0">
                  <c:v>7</c:v>
                </c:pt>
                <c:pt idx="1">
                  <c:v>8</c:v>
                </c:pt>
                <c:pt idx="2">
                  <c:v>9</c:v>
                </c:pt>
                <c:pt idx="3">
                  <c:v>10</c:v>
                </c:pt>
                <c:pt idx="4">
                  <c:v>11</c:v>
                </c:pt>
                <c:pt idx="5">
                  <c:v>12</c:v>
                </c:pt>
                <c:pt idx="6">
                  <c:v>13</c:v>
                </c:pt>
                <c:pt idx="7">
                  <c:v>14</c:v>
                </c:pt>
                <c:pt idx="8">
                  <c:v>15</c:v>
                </c:pt>
                <c:pt idx="9">
                  <c:v>16</c:v>
                </c:pt>
                <c:pt idx="10">
                  <c:v>17</c:v>
                </c:pt>
                <c:pt idx="11">
                  <c:v>18</c:v>
                </c:pt>
                <c:pt idx="12">
                  <c:v>19</c:v>
                </c:pt>
                <c:pt idx="13">
                  <c:v>20</c:v>
                </c:pt>
                <c:pt idx="14">
                  <c:v>21</c:v>
                </c:pt>
                <c:pt idx="15">
                  <c:v>22</c:v>
                </c:pt>
                <c:pt idx="16">
                  <c:v>23</c:v>
                </c:pt>
                <c:pt idx="17">
                  <c:v>24</c:v>
                </c:pt>
                <c:pt idx="18">
                  <c:v>25</c:v>
                </c:pt>
                <c:pt idx="19">
                  <c:v>26</c:v>
                </c:pt>
                <c:pt idx="20">
                  <c:v>27</c:v>
                </c:pt>
                <c:pt idx="21">
                  <c:v>28</c:v>
                </c:pt>
                <c:pt idx="22">
                  <c:v>29</c:v>
                </c:pt>
                <c:pt idx="23">
                  <c:v>30</c:v>
                </c:pt>
                <c:pt idx="24">
                  <c:v>31</c:v>
                </c:pt>
                <c:pt idx="25">
                  <c:v>32</c:v>
                </c:pt>
                <c:pt idx="26">
                  <c:v>33</c:v>
                </c:pt>
                <c:pt idx="27">
                  <c:v>34</c:v>
                </c:pt>
                <c:pt idx="28">
                  <c:v>35</c:v>
                </c:pt>
                <c:pt idx="29">
                  <c:v>36</c:v>
                </c:pt>
              </c:strCache>
            </c:strRef>
          </c:cat>
          <c:val>
            <c:numRef>
              <c:f>Sheet1!$C$2:$C$31</c:f>
              <c:numCache>
                <c:ptCount val="30"/>
                <c:pt idx="0">
                  <c:v>0.088417</c:v>
                </c:pt>
                <c:pt idx="1">
                  <c:v>0.088417</c:v>
                </c:pt>
                <c:pt idx="2">
                  <c:v>0.176835</c:v>
                </c:pt>
                <c:pt idx="3">
                  <c:v>0.530504</c:v>
                </c:pt>
                <c:pt idx="4">
                  <c:v>0.618921</c:v>
                </c:pt>
                <c:pt idx="5">
                  <c:v>1.768347</c:v>
                </c:pt>
                <c:pt idx="6">
                  <c:v>5.039788</c:v>
                </c:pt>
                <c:pt idx="7">
                  <c:v>7.692308</c:v>
                </c:pt>
                <c:pt idx="8">
                  <c:v>10.521662</c:v>
                </c:pt>
                <c:pt idx="9">
                  <c:v>13.969938</c:v>
                </c:pt>
                <c:pt idx="10">
                  <c:v>11.759505</c:v>
                </c:pt>
                <c:pt idx="11">
                  <c:v>9.991158</c:v>
                </c:pt>
                <c:pt idx="12">
                  <c:v>8.311229</c:v>
                </c:pt>
                <c:pt idx="13">
                  <c:v>4.420866</c:v>
                </c:pt>
                <c:pt idx="14">
                  <c:v>4.420866</c:v>
                </c:pt>
                <c:pt idx="15">
                  <c:v>2.740937</c:v>
                </c:pt>
                <c:pt idx="16">
                  <c:v>2.740937</c:v>
                </c:pt>
                <c:pt idx="17">
                  <c:v>2.564103</c:v>
                </c:pt>
                <c:pt idx="18">
                  <c:v>2.387268</c:v>
                </c:pt>
                <c:pt idx="19">
                  <c:v>2.298851</c:v>
                </c:pt>
                <c:pt idx="20">
                  <c:v>1.679929</c:v>
                </c:pt>
                <c:pt idx="21">
                  <c:v>0.884173</c:v>
                </c:pt>
                <c:pt idx="22">
                  <c:v>1.768347</c:v>
                </c:pt>
                <c:pt idx="23">
                  <c:v>1.149425</c:v>
                </c:pt>
                <c:pt idx="24">
                  <c:v>0.972591</c:v>
                </c:pt>
                <c:pt idx="25">
                  <c:v>0.353669</c:v>
                </c:pt>
                <c:pt idx="26">
                  <c:v>0.176835</c:v>
                </c:pt>
                <c:pt idx="27">
                  <c:v>0.353669</c:v>
                </c:pt>
                <c:pt idx="28">
                  <c:v>0.265252</c:v>
                </c:pt>
                <c:pt idx="29">
                  <c:v>0.265252</c:v>
                </c:pt>
              </c:numCache>
            </c:numRef>
          </c:val>
        </c:ser>
        <c:gapWidth val="219"/>
        <c:overlap val="-27"/>
        <c:axId val="2094734552"/>
        <c:axId val="2094734553"/>
      </c:barChart>
      <c:catAx>
        <c:axId val="2094734552"/>
        <c:scaling>
          <c:orientation val="minMax"/>
        </c:scaling>
        <c:delete val="0"/>
        <c:axPos val="b"/>
        <c:title>
          <c:tx>
            <c:rich>
              <a:bodyPr rot="0"/>
              <a:lstStyle/>
              <a:p>
                <a:pPr>
                  <a:defRPr b="1" i="0" strike="noStrike" sz="1400" u="none">
                    <a:solidFill>
                      <a:srgbClr val="000000"/>
                    </a:solidFill>
                    <a:latin typeface="Calibri"/>
                  </a:defRPr>
                </a:pPr>
                <a:r>
                  <a:rPr b="1" i="0" strike="noStrike" sz="1400" u="none">
                    <a:solidFill>
                      <a:srgbClr val="000000"/>
                    </a:solidFill>
                    <a:latin typeface="Calibri"/>
                  </a:rPr>
                  <a:t>Length groups (1-in)</a:t>
                </a:r>
              </a:p>
            </c:rich>
          </c:tx>
          <c:layout/>
          <c:overlay val="1"/>
        </c:title>
        <c:numFmt formatCode="General" sourceLinked="0"/>
        <c:majorTickMark val="out"/>
        <c:minorTickMark val="none"/>
        <c:tickLblPos val="low"/>
        <c:spPr>
          <a:ln w="19050" cap="flat">
            <a:solidFill>
              <a:srgbClr val="000000"/>
            </a:solidFill>
            <a:prstDash val="solid"/>
            <a:round/>
          </a:ln>
        </c:spPr>
        <c:txPr>
          <a:bodyPr rot="0"/>
          <a:lstStyle/>
          <a:p>
            <a:pPr>
              <a:defRPr b="1" i="0" strike="noStrike" sz="1200" u="none">
                <a:solidFill>
                  <a:srgbClr val="000000"/>
                </a:solidFill>
                <a:latin typeface="Calibri"/>
              </a:defRPr>
            </a:pPr>
          </a:p>
        </c:txPr>
        <c:crossAx val="2094734553"/>
        <c:crosses val="autoZero"/>
        <c:auto val="1"/>
        <c:lblAlgn val="ctr"/>
        <c:tickLblSkip val="2"/>
        <c:noMultiLvlLbl val="1"/>
      </c:catAx>
      <c:valAx>
        <c:axId val="2094734553"/>
        <c:scaling>
          <c:orientation val="minMax"/>
        </c:scaling>
        <c:delete val="0"/>
        <c:axPos val="l"/>
        <c:title>
          <c:tx>
            <c:rich>
              <a:bodyPr rot="-5400000"/>
              <a:lstStyle/>
              <a:p>
                <a:pPr>
                  <a:defRPr b="1" i="0" strike="noStrike" sz="1400" u="none">
                    <a:solidFill>
                      <a:srgbClr val="000000"/>
                    </a:solidFill>
                    <a:latin typeface="Calibri"/>
                  </a:defRPr>
                </a:pPr>
                <a:r>
                  <a:rPr b="1" i="0" strike="noStrike" sz="1400" u="none">
                    <a:solidFill>
                      <a:srgbClr val="000000"/>
                    </a:solidFill>
                    <a:latin typeface="Calibri"/>
                  </a:rPr>
                  <a:t>% Frequency</a:t>
                </a:r>
              </a:p>
            </c:rich>
          </c:tx>
          <c:layout/>
          <c:overlay val="1"/>
        </c:title>
        <c:numFmt formatCode="0.0" sourceLinked="0"/>
        <c:majorTickMark val="out"/>
        <c:minorTickMark val="none"/>
        <c:tickLblPos val="nextTo"/>
        <c:spPr>
          <a:ln w="19050" cap="flat">
            <a:solidFill>
              <a:srgbClr val="000000"/>
            </a:solidFill>
            <a:prstDash val="solid"/>
            <a:round/>
          </a:ln>
        </c:spPr>
        <c:txPr>
          <a:bodyPr rot="0"/>
          <a:lstStyle/>
          <a:p>
            <a:pPr>
              <a:defRPr b="1" i="0" strike="noStrike" sz="1200" u="none">
                <a:solidFill>
                  <a:srgbClr val="000000"/>
                </a:solidFill>
                <a:latin typeface="Calibri"/>
              </a:defRPr>
            </a:pPr>
          </a:p>
        </c:txPr>
        <c:crossAx val="2094734552"/>
        <c:crosses val="autoZero"/>
        <c:crossBetween val="between"/>
        <c:majorUnit val="3.5"/>
        <c:minorUnit val="1.75"/>
      </c:valAx>
      <c:spPr>
        <a:noFill/>
        <a:ln w="12700" cap="flat">
          <a:noFill/>
          <a:miter lim="400000"/>
        </a:ln>
        <a:effectLst/>
      </c:spPr>
    </c:plotArea>
    <c:legend>
      <c:legendPos val="r"/>
      <c:layout>
        <c:manualLayout>
          <c:xMode val="edge"/>
          <c:yMode val="edge"/>
          <c:x val="0.180352"/>
          <c:y val="0.107475"/>
          <c:w val="0.15005"/>
          <c:h val="0.110565"/>
        </c:manualLayout>
      </c:layout>
      <c:overlay val="1"/>
      <c:spPr>
        <a:noFill/>
        <a:ln w="12700" cap="flat">
          <a:noFill/>
          <a:miter lim="400000"/>
        </a:ln>
        <a:effectLst/>
      </c:spPr>
      <c:txPr>
        <a:bodyPr rot="0"/>
        <a:lstStyle/>
        <a:p>
          <a:pPr>
            <a:defRPr b="1" i="0" strike="noStrike" sz="900" u="none">
              <a:solidFill>
                <a:srgbClr val="000000"/>
              </a:solidFill>
              <a:latin typeface="Calibri"/>
            </a:defRPr>
          </a:pPr>
        </a:p>
      </c:txPr>
    </c:legend>
    <c:plotVisOnly val="1"/>
    <c:dispBlanksAs val="gap"/>
  </c:chart>
  <c:spPr>
    <a:solidFill>
      <a:srgbClr val="FFFFFF"/>
    </a:solidFill>
    <a:ln w="12700" cap="flat">
      <a:solidFill>
        <a:srgbClr val="D9D9D9"/>
      </a:solidFill>
      <a:prstDash val="solid"/>
      <a:round/>
    </a:ln>
    <a:effectLst/>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roundedCorners val="0"/>
  <c:chart>
    <c:title>
      <c:tx>
        <c:rich>
          <a:bodyPr rot="0"/>
          <a:lstStyle/>
          <a:p>
            <a:pPr>
              <a:defRPr b="0" i="0" strike="noStrike" sz="1400" u="none">
                <a:solidFill>
                  <a:srgbClr val="595959"/>
                </a:solidFill>
                <a:latin typeface="Calibri"/>
              </a:defRPr>
            </a:pPr>
            <a:r>
              <a:rPr b="0" i="0" strike="noStrike" sz="1400" u="none">
                <a:solidFill>
                  <a:srgbClr val="595959"/>
                </a:solidFill>
                <a:latin typeface="Calibri"/>
              </a:rPr>
              <a:t>Summer GN Surveys</a:t>
            </a:r>
          </a:p>
        </c:rich>
      </c:tx>
      <c:layout>
        <c:manualLayout>
          <c:xMode val="edge"/>
          <c:yMode val="edge"/>
          <c:x val="0.343854"/>
          <c:y val="0"/>
          <c:w val="0.312292"/>
          <c:h val="0.13461"/>
        </c:manualLayout>
      </c:layout>
      <c:overlay val="1"/>
      <c:spPr>
        <a:noFill/>
        <a:effectLst/>
      </c:spPr>
    </c:title>
    <c:autoTitleDeleted val="1"/>
    <c:plotArea>
      <c:layout>
        <c:manualLayout>
          <c:layoutTarget val="inner"/>
          <c:xMode val="edge"/>
          <c:yMode val="edge"/>
          <c:x val="0.151134"/>
          <c:y val="0.13461"/>
          <c:w val="0.843866"/>
          <c:h val="0.64776"/>
        </c:manualLayout>
      </c:layout>
      <c:areaChart>
        <c:grouping val="standard"/>
        <c:varyColors val="0"/>
        <c:ser>
          <c:idx val="0"/>
          <c:order val="0"/>
          <c:tx>
            <c:strRef>
              <c:f>Sheet1!$B$1</c:f>
              <c:strCache>
                <c:ptCount val="1"/>
                <c:pt idx="0">
                  <c:v>Pre-Reg</c:v>
                </c:pt>
              </c:strCache>
            </c:strRef>
          </c:tx>
          <c:spPr>
            <a:solidFill>
              <a:schemeClr val="accent1"/>
            </a:solidFill>
            <a:ln w="12700" cap="flat">
              <a:noFill/>
              <a:miter lim="400000"/>
            </a:ln>
            <a:effectLst/>
          </c:spPr>
          <c:dLbls>
            <c:numFmt formatCode="0.0" sourceLinked="0"/>
            <c:txPr>
              <a:bodyPr/>
              <a:lstStyle/>
              <a:p>
                <a:pPr>
                  <a:defRPr b="0" i="0" strike="noStrike" sz="1000" u="none">
                    <a:solidFill>
                      <a:srgbClr val="000000"/>
                    </a:solidFill>
                    <a:latin typeface="Calibri"/>
                  </a:defRPr>
                </a:pPr>
              </a:p>
            </c:txPr>
            <c:showLegendKey val="0"/>
            <c:showVal val="0"/>
            <c:showCatName val="0"/>
            <c:showSerName val="0"/>
            <c:showPercent val="0"/>
            <c:showBubbleSize val="0"/>
            <c:showLeaderLines val="0"/>
          </c:dLbls>
          <c:cat>
            <c:strRef>
              <c:f>Sheet1!$A$2:$A$29</c:f>
              <c:strCache>
                <c:ptCount val="28"/>
                <c:pt idx="0">
                  <c:v>6</c:v>
                </c:pt>
                <c:pt idx="1">
                  <c:v>7</c:v>
                </c:pt>
                <c:pt idx="2">
                  <c:v>8</c:v>
                </c:pt>
                <c:pt idx="3">
                  <c:v>9</c:v>
                </c:pt>
                <c:pt idx="4">
                  <c:v>10</c:v>
                </c:pt>
                <c:pt idx="5">
                  <c:v>11</c:v>
                </c:pt>
                <c:pt idx="6">
                  <c:v>12</c:v>
                </c:pt>
                <c:pt idx="7">
                  <c:v>13</c:v>
                </c:pt>
                <c:pt idx="8">
                  <c:v>14</c:v>
                </c:pt>
                <c:pt idx="9">
                  <c:v>15</c:v>
                </c:pt>
                <c:pt idx="10">
                  <c:v>16</c:v>
                </c:pt>
                <c:pt idx="11">
                  <c:v>17</c:v>
                </c:pt>
                <c:pt idx="12">
                  <c:v>18</c:v>
                </c:pt>
                <c:pt idx="13">
                  <c:v>19</c:v>
                </c:pt>
                <c:pt idx="14">
                  <c:v>20</c:v>
                </c:pt>
                <c:pt idx="15">
                  <c:v>21</c:v>
                </c:pt>
                <c:pt idx="16">
                  <c:v>22</c:v>
                </c:pt>
                <c:pt idx="17">
                  <c:v>23</c:v>
                </c:pt>
                <c:pt idx="18">
                  <c:v>24</c:v>
                </c:pt>
                <c:pt idx="19">
                  <c:v>25</c:v>
                </c:pt>
                <c:pt idx="20">
                  <c:v>26</c:v>
                </c:pt>
                <c:pt idx="21">
                  <c:v>27</c:v>
                </c:pt>
                <c:pt idx="22">
                  <c:v>28</c:v>
                </c:pt>
                <c:pt idx="23">
                  <c:v>29</c:v>
                </c:pt>
                <c:pt idx="24">
                  <c:v>30</c:v>
                </c:pt>
                <c:pt idx="25">
                  <c:v>31</c:v>
                </c:pt>
                <c:pt idx="26">
                  <c:v>32</c:v>
                </c:pt>
                <c:pt idx="27">
                  <c:v>33</c:v>
                </c:pt>
              </c:strCache>
            </c:strRef>
          </c:cat>
          <c:val>
            <c:numRef>
              <c:f>Sheet1!$B$2:$B$29</c:f>
              <c:numCache>
                <c:ptCount val="28"/>
                <c:pt idx="0">
                  <c:v>0.000000</c:v>
                </c:pt>
                <c:pt idx="1">
                  <c:v>0.000000</c:v>
                </c:pt>
                <c:pt idx="2">
                  <c:v>0.000000</c:v>
                </c:pt>
                <c:pt idx="3">
                  <c:v>0.000000</c:v>
                </c:pt>
                <c:pt idx="4">
                  <c:v>0.840336</c:v>
                </c:pt>
                <c:pt idx="5">
                  <c:v>0.840336</c:v>
                </c:pt>
                <c:pt idx="6">
                  <c:v>0.420168</c:v>
                </c:pt>
                <c:pt idx="7">
                  <c:v>3.361345</c:v>
                </c:pt>
                <c:pt idx="8">
                  <c:v>3.361345</c:v>
                </c:pt>
                <c:pt idx="9">
                  <c:v>2.521008</c:v>
                </c:pt>
                <c:pt idx="10">
                  <c:v>7.983193</c:v>
                </c:pt>
                <c:pt idx="11">
                  <c:v>10.504202</c:v>
                </c:pt>
                <c:pt idx="12">
                  <c:v>14.285714</c:v>
                </c:pt>
                <c:pt idx="13">
                  <c:v>11.764706</c:v>
                </c:pt>
                <c:pt idx="14">
                  <c:v>10.924370</c:v>
                </c:pt>
                <c:pt idx="15">
                  <c:v>5.462185</c:v>
                </c:pt>
                <c:pt idx="16">
                  <c:v>5.042017</c:v>
                </c:pt>
                <c:pt idx="17">
                  <c:v>5.882353</c:v>
                </c:pt>
                <c:pt idx="18">
                  <c:v>2.941176</c:v>
                </c:pt>
                <c:pt idx="19">
                  <c:v>4.201681</c:v>
                </c:pt>
                <c:pt idx="20">
                  <c:v>2.941176</c:v>
                </c:pt>
                <c:pt idx="21">
                  <c:v>1.680672</c:v>
                </c:pt>
                <c:pt idx="22">
                  <c:v>1.680672</c:v>
                </c:pt>
                <c:pt idx="23">
                  <c:v>2.941176</c:v>
                </c:pt>
                <c:pt idx="24">
                  <c:v>0.000000</c:v>
                </c:pt>
                <c:pt idx="25">
                  <c:v>0.000000</c:v>
                </c:pt>
                <c:pt idx="26">
                  <c:v>0.000000</c:v>
                </c:pt>
                <c:pt idx="27">
                  <c:v>0.420168</c:v>
                </c:pt>
              </c:numCache>
            </c:numRef>
          </c:val>
        </c:ser>
        <c:axId val="2094734552"/>
        <c:axId val="2094734553"/>
      </c:areaChart>
      <c:barChart>
        <c:barDir val="col"/>
        <c:grouping val="clustered"/>
        <c:varyColors val="0"/>
        <c:ser>
          <c:idx val="1"/>
          <c:order val="1"/>
          <c:tx>
            <c:strRef>
              <c:f>Sheet1!$C$1</c:f>
              <c:strCache>
                <c:ptCount val="1"/>
                <c:pt idx="0">
                  <c:v>Post-Reg</c:v>
                </c:pt>
              </c:strCache>
            </c:strRef>
          </c:tx>
          <c:spPr>
            <a:solidFill>
              <a:schemeClr val="accent2"/>
            </a:solidFill>
            <a:ln w="12700" cap="flat">
              <a:noFill/>
              <a:miter lim="400000"/>
            </a:ln>
            <a:effectLst/>
          </c:spPr>
          <c:invertIfNegative val="0"/>
          <c:dLbls>
            <c:numFmt formatCode="0.0" sourceLinked="0"/>
            <c:txPr>
              <a:bodyPr/>
              <a:lstStyle/>
              <a:p>
                <a:pPr>
                  <a:defRPr b="0" i="0" strike="noStrike" sz="1000" u="none">
                    <a:solidFill>
                      <a:srgbClr val="000000"/>
                    </a:solidFill>
                    <a:latin typeface="Calibri"/>
                  </a:defRPr>
                </a:pPr>
              </a:p>
            </c:txPr>
            <c:dLblPos val="outEnd"/>
            <c:showLegendKey val="0"/>
            <c:showVal val="0"/>
            <c:showCatName val="0"/>
            <c:showSerName val="0"/>
            <c:showPercent val="0"/>
            <c:showBubbleSize val="0"/>
            <c:showLeaderLines val="0"/>
          </c:dLbls>
          <c:cat>
            <c:strRef>
              <c:f>Sheet1!$A$2:$A$29</c:f>
              <c:strCache>
                <c:ptCount val="28"/>
                <c:pt idx="0">
                  <c:v>6</c:v>
                </c:pt>
                <c:pt idx="1">
                  <c:v>7</c:v>
                </c:pt>
                <c:pt idx="2">
                  <c:v>8</c:v>
                </c:pt>
                <c:pt idx="3">
                  <c:v>9</c:v>
                </c:pt>
                <c:pt idx="4">
                  <c:v>10</c:v>
                </c:pt>
                <c:pt idx="5">
                  <c:v>11</c:v>
                </c:pt>
                <c:pt idx="6">
                  <c:v>12</c:v>
                </c:pt>
                <c:pt idx="7">
                  <c:v>13</c:v>
                </c:pt>
                <c:pt idx="8">
                  <c:v>14</c:v>
                </c:pt>
                <c:pt idx="9">
                  <c:v>15</c:v>
                </c:pt>
                <c:pt idx="10">
                  <c:v>16</c:v>
                </c:pt>
                <c:pt idx="11">
                  <c:v>17</c:v>
                </c:pt>
                <c:pt idx="12">
                  <c:v>18</c:v>
                </c:pt>
                <c:pt idx="13">
                  <c:v>19</c:v>
                </c:pt>
                <c:pt idx="14">
                  <c:v>20</c:v>
                </c:pt>
                <c:pt idx="15">
                  <c:v>21</c:v>
                </c:pt>
                <c:pt idx="16">
                  <c:v>22</c:v>
                </c:pt>
                <c:pt idx="17">
                  <c:v>23</c:v>
                </c:pt>
                <c:pt idx="18">
                  <c:v>24</c:v>
                </c:pt>
                <c:pt idx="19">
                  <c:v>25</c:v>
                </c:pt>
                <c:pt idx="20">
                  <c:v>26</c:v>
                </c:pt>
                <c:pt idx="21">
                  <c:v>27</c:v>
                </c:pt>
                <c:pt idx="22">
                  <c:v>28</c:v>
                </c:pt>
                <c:pt idx="23">
                  <c:v>29</c:v>
                </c:pt>
                <c:pt idx="24">
                  <c:v>30</c:v>
                </c:pt>
                <c:pt idx="25">
                  <c:v>31</c:v>
                </c:pt>
                <c:pt idx="26">
                  <c:v>32</c:v>
                </c:pt>
                <c:pt idx="27">
                  <c:v>33</c:v>
                </c:pt>
              </c:strCache>
            </c:strRef>
          </c:cat>
          <c:val>
            <c:numRef>
              <c:f>Sheet1!$C$2:$C$29</c:f>
              <c:numCache>
                <c:ptCount val="28"/>
                <c:pt idx="0">
                  <c:v>0.862069</c:v>
                </c:pt>
                <c:pt idx="1">
                  <c:v>0.000000</c:v>
                </c:pt>
                <c:pt idx="2">
                  <c:v>0.000000</c:v>
                </c:pt>
                <c:pt idx="3">
                  <c:v>0.000000</c:v>
                </c:pt>
                <c:pt idx="4">
                  <c:v>0.000000</c:v>
                </c:pt>
                <c:pt idx="5">
                  <c:v>2.586207</c:v>
                </c:pt>
                <c:pt idx="6">
                  <c:v>2.586207</c:v>
                </c:pt>
                <c:pt idx="7">
                  <c:v>0.862069</c:v>
                </c:pt>
                <c:pt idx="8">
                  <c:v>8.620690</c:v>
                </c:pt>
                <c:pt idx="9">
                  <c:v>10.344828</c:v>
                </c:pt>
                <c:pt idx="10">
                  <c:v>6.034483</c:v>
                </c:pt>
                <c:pt idx="11">
                  <c:v>7.758621</c:v>
                </c:pt>
                <c:pt idx="12">
                  <c:v>10.344828</c:v>
                </c:pt>
                <c:pt idx="13">
                  <c:v>12.068966</c:v>
                </c:pt>
                <c:pt idx="14">
                  <c:v>7.758621</c:v>
                </c:pt>
                <c:pt idx="15">
                  <c:v>8.620690</c:v>
                </c:pt>
                <c:pt idx="16">
                  <c:v>4.310345</c:v>
                </c:pt>
                <c:pt idx="17">
                  <c:v>6.034483</c:v>
                </c:pt>
                <c:pt idx="18">
                  <c:v>3.448276</c:v>
                </c:pt>
                <c:pt idx="19">
                  <c:v>1.724138</c:v>
                </c:pt>
                <c:pt idx="20">
                  <c:v>2.586207</c:v>
                </c:pt>
                <c:pt idx="21">
                  <c:v>0.862069</c:v>
                </c:pt>
                <c:pt idx="22">
                  <c:v>1.724138</c:v>
                </c:pt>
                <c:pt idx="23">
                  <c:v>0.000000</c:v>
                </c:pt>
                <c:pt idx="24">
                  <c:v>0.862069</c:v>
                </c:pt>
                <c:pt idx="25">
                  <c:v>0.000000</c:v>
                </c:pt>
                <c:pt idx="26">
                  <c:v>0.000000</c:v>
                </c:pt>
                <c:pt idx="27">
                  <c:v>0.000000</c:v>
                </c:pt>
              </c:numCache>
            </c:numRef>
          </c:val>
        </c:ser>
        <c:gapWidth val="219"/>
        <c:overlap val="-27"/>
        <c:axId val="2094734552"/>
        <c:axId val="2094734553"/>
      </c:barChart>
      <c:catAx>
        <c:axId val="2094734552"/>
        <c:scaling>
          <c:orientation val="minMax"/>
        </c:scaling>
        <c:delete val="0"/>
        <c:axPos val="b"/>
        <c:title>
          <c:tx>
            <c:rich>
              <a:bodyPr rot="0"/>
              <a:lstStyle/>
              <a:p>
                <a:pPr>
                  <a:defRPr b="1" i="0" strike="noStrike" sz="1400" u="none">
                    <a:solidFill>
                      <a:srgbClr val="000000"/>
                    </a:solidFill>
                    <a:latin typeface="Calibri"/>
                  </a:defRPr>
                </a:pPr>
                <a:r>
                  <a:rPr b="1" i="0" strike="noStrike" sz="1400" u="none">
                    <a:solidFill>
                      <a:srgbClr val="000000"/>
                    </a:solidFill>
                    <a:latin typeface="Calibri"/>
                  </a:rPr>
                  <a:t>Length groups (1-in)</a:t>
                </a:r>
              </a:p>
            </c:rich>
          </c:tx>
          <c:layout/>
          <c:overlay val="1"/>
        </c:title>
        <c:numFmt formatCode="General" sourceLinked="0"/>
        <c:majorTickMark val="out"/>
        <c:minorTickMark val="none"/>
        <c:tickLblPos val="low"/>
        <c:spPr>
          <a:ln w="19050" cap="flat">
            <a:solidFill>
              <a:srgbClr val="000000"/>
            </a:solidFill>
            <a:prstDash val="solid"/>
            <a:round/>
          </a:ln>
        </c:spPr>
        <c:txPr>
          <a:bodyPr rot="0"/>
          <a:lstStyle/>
          <a:p>
            <a:pPr>
              <a:defRPr b="1" i="0" strike="noStrike" sz="1200" u="none">
                <a:solidFill>
                  <a:srgbClr val="000000"/>
                </a:solidFill>
                <a:latin typeface="Calibri"/>
              </a:defRPr>
            </a:pPr>
          </a:p>
        </c:txPr>
        <c:crossAx val="2094734553"/>
        <c:crosses val="autoZero"/>
        <c:auto val="1"/>
        <c:lblAlgn val="ctr"/>
        <c:noMultiLvlLbl val="1"/>
      </c:catAx>
      <c:valAx>
        <c:axId val="2094734553"/>
        <c:scaling>
          <c:orientation val="minMax"/>
        </c:scaling>
        <c:delete val="0"/>
        <c:axPos val="l"/>
        <c:title>
          <c:tx>
            <c:rich>
              <a:bodyPr rot="-5400000"/>
              <a:lstStyle/>
              <a:p>
                <a:pPr>
                  <a:defRPr b="0" i="0" strike="noStrike" sz="1000" u="none">
                    <a:solidFill>
                      <a:srgbClr val="595959"/>
                    </a:solidFill>
                    <a:latin typeface="Calibri"/>
                  </a:defRPr>
                </a:pPr>
                <a:r>
                  <a:rPr b="0" i="0" strike="noStrike" sz="1000" u="none">
                    <a:solidFill>
                      <a:srgbClr val="595959"/>
                    </a:solidFill>
                    <a:latin typeface="Calibri"/>
                  </a:rPr>
                  <a:t>% frequency</a:t>
                </a:r>
              </a:p>
            </c:rich>
          </c:tx>
          <c:layout/>
          <c:overlay val="1"/>
        </c:title>
        <c:numFmt formatCode="0.0" sourceLinked="0"/>
        <c:majorTickMark val="out"/>
        <c:minorTickMark val="none"/>
        <c:tickLblPos val="nextTo"/>
        <c:spPr>
          <a:ln w="19050" cap="flat">
            <a:solidFill>
              <a:srgbClr val="000000"/>
            </a:solidFill>
            <a:prstDash val="solid"/>
            <a:round/>
          </a:ln>
        </c:spPr>
        <c:txPr>
          <a:bodyPr rot="0"/>
          <a:lstStyle/>
          <a:p>
            <a:pPr>
              <a:defRPr b="1" i="0" strike="noStrike" sz="1200" u="none">
                <a:solidFill>
                  <a:srgbClr val="000000"/>
                </a:solidFill>
                <a:latin typeface="Calibri"/>
              </a:defRPr>
            </a:pPr>
          </a:p>
        </c:txPr>
        <c:crossAx val="2094734552"/>
        <c:crosses val="autoZero"/>
        <c:crossBetween val="between"/>
        <c:majorUnit val="4"/>
        <c:minorUnit val="2"/>
      </c:valAx>
      <c:spPr>
        <a:noFill/>
        <a:ln w="12700" cap="flat">
          <a:noFill/>
          <a:miter lim="400000"/>
        </a:ln>
        <a:effectLst/>
      </c:spPr>
    </c:plotArea>
    <c:legend>
      <c:legendPos val="r"/>
      <c:layout>
        <c:manualLayout>
          <c:xMode val="edge"/>
          <c:yMode val="edge"/>
          <c:x val="0.201247"/>
          <c:y val="0.176325"/>
          <c:w val="0.15059"/>
          <c:h val="0.11474"/>
        </c:manualLayout>
      </c:layout>
      <c:overlay val="1"/>
      <c:spPr>
        <a:noFill/>
        <a:ln w="12700" cap="flat">
          <a:noFill/>
          <a:miter lim="400000"/>
        </a:ln>
        <a:effectLst/>
      </c:spPr>
      <c:txPr>
        <a:bodyPr rot="0"/>
        <a:lstStyle/>
        <a:p>
          <a:pPr>
            <a:defRPr b="1" i="0" strike="noStrike" sz="900" u="none">
              <a:solidFill>
                <a:srgbClr val="595959"/>
              </a:solidFill>
              <a:latin typeface="Calibri"/>
            </a:defRPr>
          </a:pPr>
        </a:p>
      </c:txPr>
    </c:legend>
    <c:plotVisOnly val="1"/>
    <c:dispBlanksAs val="gap"/>
  </c:chart>
  <c:spPr>
    <a:solidFill>
      <a:srgbClr val="FFFFFF"/>
    </a:solidFill>
    <a:ln w="12700" cap="flat">
      <a:solidFill>
        <a:srgbClr val="D9D9D9"/>
      </a:solidFill>
      <a:prstDash val="solid"/>
      <a:round/>
    </a:ln>
    <a:effectLst/>
  </c:spPr>
  <c:externalData r:id="rId1">
    <c:autoUpdate val="0"/>
  </c:externalData>
</c:chartSpace>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